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73D0DBAB" w14:textId="77777777" w:rsidR="00B74F1E" w:rsidRDefault="00B74F1E" w:rsidP="00B74F1E">
      <w:pPr>
        <w:jc w:val="center"/>
        <w:rPr>
          <w:rFonts w:cs="Arial"/>
          <w:b/>
          <w:bCs/>
          <w:sz w:val="32"/>
          <w:szCs w:val="32"/>
        </w:rPr>
      </w:pPr>
      <w:r w:rsidRPr="001B33BF">
        <w:rPr>
          <w:rFonts w:cs="Arial"/>
          <w:b/>
          <w:bCs/>
          <w:sz w:val="32"/>
          <w:szCs w:val="32"/>
        </w:rPr>
        <w:t>Stability as a service</w:t>
      </w:r>
    </w:p>
    <w:p w14:paraId="7BCC8F01" w14:textId="77777777" w:rsidR="00334206" w:rsidRPr="001B33BF" w:rsidRDefault="00334206" w:rsidP="00B74F1E">
      <w:pPr>
        <w:jc w:val="center"/>
        <w:rPr>
          <w:rFonts w:cs="Arial"/>
          <w:b/>
          <w:bCs/>
          <w:sz w:val="32"/>
          <w:szCs w:val="32"/>
        </w:rPr>
      </w:pPr>
    </w:p>
    <w:p w14:paraId="2E882F06" w14:textId="77777777" w:rsidR="00B74F1E" w:rsidRPr="001B33BF" w:rsidRDefault="00B74F1E" w:rsidP="00B74F1E">
      <w:pPr>
        <w:spacing w:after="160" w:line="278" w:lineRule="auto"/>
        <w:jc w:val="center"/>
        <w:rPr>
          <w:rFonts w:cs="Arial"/>
        </w:rPr>
      </w:pPr>
      <w:r>
        <w:rPr>
          <w:rFonts w:cs="Arial"/>
          <w:b/>
          <w:bCs/>
        </w:rPr>
        <w:t>~ R</w:t>
      </w:r>
      <w:r w:rsidRPr="001B33BF">
        <w:rPr>
          <w:rFonts w:cs="Arial"/>
          <w:b/>
          <w:bCs/>
        </w:rPr>
        <w:t>ethinking grid resilience in a renewables era</w:t>
      </w:r>
      <w:r>
        <w:rPr>
          <w:rFonts w:cs="Arial"/>
          <w:b/>
          <w:bCs/>
        </w:rPr>
        <w:t xml:space="preserve"> ~</w:t>
      </w:r>
      <w:r w:rsidRPr="001B33BF">
        <w:rPr>
          <w:rFonts w:cs="Arial"/>
        </w:rPr>
        <w:br/>
      </w:r>
    </w:p>
    <w:p w14:paraId="3980D56B" w14:textId="77777777" w:rsidR="00B74F1E" w:rsidRDefault="00B74F1E" w:rsidP="00B74F1E">
      <w:pPr>
        <w:spacing w:line="480" w:lineRule="auto"/>
        <w:jc w:val="both"/>
        <w:rPr>
          <w:rFonts w:cs="Arial"/>
          <w:b/>
          <w:bCs/>
        </w:rPr>
      </w:pPr>
    </w:p>
    <w:p w14:paraId="1E88345A" w14:textId="77777777" w:rsidR="00B74F1E" w:rsidRPr="00DF574F" w:rsidRDefault="00B74F1E" w:rsidP="00B74F1E">
      <w:pPr>
        <w:spacing w:line="480" w:lineRule="auto"/>
        <w:jc w:val="both"/>
        <w:rPr>
          <w:rFonts w:cs="Arial"/>
          <w:b/>
          <w:bCs/>
        </w:rPr>
      </w:pPr>
      <w:r w:rsidRPr="00DF574F">
        <w:rPr>
          <w:rFonts w:cs="Arial"/>
          <w:b/>
          <w:bCs/>
        </w:rPr>
        <w:t xml:space="preserve">As renewable generation accelerates across Europe, electricity systems are undergoing a fundamental structural shift. The rapid expansion of wind and solar, coupled with the retirement of conventional thermal power stations, is changing not just how electricity is generated, but how power systems behave. Here, Mark Newman, business development manager at global manufacturer of </w:t>
      </w:r>
      <w:hyperlink r:id="rId11" w:history="1">
        <w:r w:rsidRPr="00DF574F">
          <w:rPr>
            <w:rStyle w:val="Hyperlink"/>
            <w:rFonts w:cs="Arial"/>
            <w:b/>
            <w:bCs/>
          </w:rPr>
          <w:t>integrated energy systems</w:t>
        </w:r>
      </w:hyperlink>
      <w:r w:rsidRPr="00DF574F">
        <w:rPr>
          <w:rFonts w:cs="Arial"/>
          <w:b/>
          <w:bCs/>
        </w:rPr>
        <w:t xml:space="preserve"> WEG, explores how system operators are responding by procuring stability as a service, rather than relying on it as a byproduct of generation.</w:t>
      </w:r>
    </w:p>
    <w:p w14:paraId="6A4D294C" w14:textId="77777777" w:rsidR="00B74F1E" w:rsidRPr="00BD551A" w:rsidRDefault="00B74F1E" w:rsidP="00B74F1E">
      <w:pPr>
        <w:spacing w:line="480" w:lineRule="auto"/>
        <w:jc w:val="both"/>
        <w:rPr>
          <w:rFonts w:cs="Arial"/>
          <w:b/>
          <w:bCs/>
        </w:rPr>
      </w:pPr>
    </w:p>
    <w:p w14:paraId="2D364930" w14:textId="77777777" w:rsidR="00B74F1E" w:rsidRDefault="00B74F1E" w:rsidP="00B74F1E">
      <w:pPr>
        <w:spacing w:line="480" w:lineRule="auto"/>
        <w:jc w:val="both"/>
        <w:rPr>
          <w:rFonts w:cs="Arial"/>
        </w:rPr>
      </w:pPr>
      <w:r w:rsidRPr="00BD551A">
        <w:rPr>
          <w:rFonts w:cs="Arial"/>
        </w:rPr>
        <w:t>For decades, grid stability was largely a byproduct of conventional generation. Large synchronous machines inherently provided inertia, reactive power and short circuit capacity, all of which underpinned a stable and resilient electricity network. Today, that assumption no longer holds. Instead, system operators are being forced to rethink stability as something that must be actively procured and managed, rather than passively inherited.</w:t>
      </w:r>
    </w:p>
    <w:p w14:paraId="16A28497" w14:textId="77777777" w:rsidR="00B74F1E" w:rsidRPr="00BD551A" w:rsidRDefault="00B74F1E" w:rsidP="00B74F1E">
      <w:pPr>
        <w:spacing w:line="480" w:lineRule="auto"/>
        <w:jc w:val="both"/>
        <w:rPr>
          <w:rFonts w:cs="Arial"/>
        </w:rPr>
      </w:pPr>
    </w:p>
    <w:p w14:paraId="73C559A3" w14:textId="77777777" w:rsidR="00B74F1E" w:rsidRPr="00BD551A" w:rsidRDefault="00B74F1E" w:rsidP="00B74F1E">
      <w:pPr>
        <w:spacing w:line="480" w:lineRule="auto"/>
        <w:jc w:val="both"/>
        <w:rPr>
          <w:rFonts w:cs="Arial"/>
        </w:rPr>
      </w:pPr>
      <w:r w:rsidRPr="00BD551A">
        <w:rPr>
          <w:rFonts w:cs="Arial"/>
        </w:rPr>
        <w:lastRenderedPageBreak/>
        <w:t>In this new landscape, “stability as a service” is emerging as a defining feature of modern power systems.</w:t>
      </w:r>
    </w:p>
    <w:p w14:paraId="750CB8AC" w14:textId="77777777" w:rsidR="00B74F1E" w:rsidRPr="00BD551A" w:rsidRDefault="00B74F1E" w:rsidP="00B74F1E">
      <w:pPr>
        <w:spacing w:line="480" w:lineRule="auto"/>
        <w:jc w:val="both"/>
        <w:rPr>
          <w:rFonts w:cs="Arial"/>
          <w:b/>
          <w:bCs/>
        </w:rPr>
      </w:pPr>
    </w:p>
    <w:p w14:paraId="0415A56F" w14:textId="77777777" w:rsidR="00B74F1E" w:rsidRPr="00BD551A" w:rsidRDefault="00B74F1E" w:rsidP="00B74F1E">
      <w:pPr>
        <w:spacing w:line="480" w:lineRule="auto"/>
        <w:jc w:val="both"/>
        <w:rPr>
          <w:rFonts w:cs="Arial"/>
          <w:b/>
          <w:bCs/>
        </w:rPr>
      </w:pPr>
      <w:r w:rsidRPr="00BD551A">
        <w:rPr>
          <w:rFonts w:cs="Arial"/>
          <w:b/>
          <w:bCs/>
        </w:rPr>
        <w:t>From rotating mass to power electronics</w:t>
      </w:r>
    </w:p>
    <w:p w14:paraId="4D784C0B" w14:textId="77777777" w:rsidR="00B74F1E" w:rsidRDefault="00B74F1E" w:rsidP="00B74F1E">
      <w:pPr>
        <w:spacing w:line="480" w:lineRule="auto"/>
        <w:jc w:val="both"/>
        <w:rPr>
          <w:rFonts w:cs="Arial"/>
        </w:rPr>
      </w:pPr>
      <w:r w:rsidRPr="00BD551A">
        <w:rPr>
          <w:rFonts w:cs="Arial"/>
        </w:rPr>
        <w:t>The root of this transition lies in the physics of generation. Traditional power stations relied on heavy rotating turbines connected to synchronous generators. These machines naturally resisted changes in frequency, contributed significant fault current and supported voltage levels. By contrast, renewable generation is connected to the grid via power electronics. While these technologies are essential for converting and controlling variable energy from wind and solar, they do not inherently provide the same stabilising characteristics.</w:t>
      </w:r>
    </w:p>
    <w:p w14:paraId="1B0A2F18" w14:textId="77777777" w:rsidR="00B74F1E" w:rsidRPr="00BD551A" w:rsidRDefault="00B74F1E" w:rsidP="00B74F1E">
      <w:pPr>
        <w:spacing w:line="480" w:lineRule="auto"/>
        <w:jc w:val="both"/>
        <w:rPr>
          <w:rFonts w:cs="Arial"/>
        </w:rPr>
      </w:pPr>
    </w:p>
    <w:p w14:paraId="70BD712D" w14:textId="77777777" w:rsidR="00B74F1E" w:rsidRPr="00BD551A" w:rsidRDefault="00B74F1E" w:rsidP="00B74F1E">
      <w:pPr>
        <w:spacing w:line="480" w:lineRule="auto"/>
        <w:jc w:val="both"/>
        <w:rPr>
          <w:rFonts w:cs="Arial"/>
        </w:rPr>
      </w:pPr>
      <w:r w:rsidRPr="00BD551A">
        <w:rPr>
          <w:rFonts w:cs="Arial"/>
        </w:rPr>
        <w:t>As a result, grids are becoming “weaker” in electrical terms. The reduction in inertia leads to faster and more pronounced frequency deviations. Lower reactive power availability increases the risk of voltage instability. Reduced short circuit capacity weakens the system’s ability to withstand faults and recover quickly. Collectively, these changes make networks more sensitive to disturbances and more complex to operate</w:t>
      </w:r>
      <w:r>
        <w:rPr>
          <w:rFonts w:cs="Arial"/>
        </w:rPr>
        <w:t>.</w:t>
      </w:r>
    </w:p>
    <w:p w14:paraId="2EABB3CD" w14:textId="77777777" w:rsidR="00B74F1E" w:rsidRDefault="00B74F1E" w:rsidP="00B74F1E">
      <w:pPr>
        <w:spacing w:line="480" w:lineRule="auto"/>
        <w:jc w:val="both"/>
        <w:rPr>
          <w:rFonts w:cs="Arial"/>
        </w:rPr>
      </w:pPr>
    </w:p>
    <w:p w14:paraId="06F83E2F" w14:textId="561C9183" w:rsidR="005D0918" w:rsidRDefault="00B74F1E" w:rsidP="00B74F1E">
      <w:pPr>
        <w:spacing w:line="480" w:lineRule="auto"/>
        <w:jc w:val="both"/>
        <w:rPr>
          <w:rFonts w:cs="Arial"/>
        </w:rPr>
      </w:pPr>
      <w:r w:rsidRPr="00BD551A">
        <w:rPr>
          <w:rFonts w:cs="Arial"/>
        </w:rPr>
        <w:t xml:space="preserve">This is not a distant or theoretical challenge. </w:t>
      </w:r>
      <w:r w:rsidR="005D0918">
        <w:rPr>
          <w:rFonts w:cs="Arial"/>
        </w:rPr>
        <w:t>T</w:t>
      </w:r>
      <w:r w:rsidR="005D0918" w:rsidRPr="005D0918">
        <w:rPr>
          <w:rFonts w:cs="Arial"/>
        </w:rPr>
        <w:t xml:space="preserve">he consequences of reduced system stability have already been felt. In 2025, </w:t>
      </w:r>
      <w:hyperlink r:id="rId12" w:history="1">
        <w:r w:rsidR="005D0918" w:rsidRPr="00D73F9A">
          <w:rPr>
            <w:rStyle w:val="Hyperlink"/>
            <w:rFonts w:cs="Arial"/>
          </w:rPr>
          <w:t>a major blackout across Iberian Peninsula</w:t>
        </w:r>
      </w:hyperlink>
      <w:r w:rsidR="005D0918" w:rsidRPr="005D0918">
        <w:rPr>
          <w:rFonts w:cs="Arial"/>
        </w:rPr>
        <w:t xml:space="preserve"> disrupted large parts of Portugal and Spain, highlighting how vulnerable modern power systems can be to disturbances when stability margins are stretched. While the causes </w:t>
      </w:r>
      <w:r w:rsidR="005D0918" w:rsidRPr="005D0918">
        <w:rPr>
          <w:rFonts w:cs="Arial"/>
        </w:rPr>
        <w:lastRenderedPageBreak/>
        <w:t>were complex, the event underscored the growing importance of actively managing system strength, frequency and voltage in increasingly renewable-heavy grids.</w:t>
      </w:r>
    </w:p>
    <w:p w14:paraId="63164587" w14:textId="77777777" w:rsidR="005D0918" w:rsidRDefault="005D0918" w:rsidP="00B74F1E">
      <w:pPr>
        <w:spacing w:line="480" w:lineRule="auto"/>
        <w:jc w:val="both"/>
        <w:rPr>
          <w:rFonts w:cs="Arial"/>
        </w:rPr>
      </w:pPr>
    </w:p>
    <w:p w14:paraId="0C1D7B0B" w14:textId="7C7657E1" w:rsidR="00B74F1E" w:rsidRDefault="00B74F1E" w:rsidP="00B74F1E">
      <w:pPr>
        <w:spacing w:line="480" w:lineRule="auto"/>
        <w:jc w:val="both"/>
        <w:rPr>
          <w:rFonts w:cs="Arial"/>
        </w:rPr>
      </w:pPr>
      <w:r w:rsidRPr="00BD551A">
        <w:rPr>
          <w:rFonts w:cs="Arial"/>
        </w:rPr>
        <w:t xml:space="preserve">In </w:t>
      </w:r>
      <w:r>
        <w:rPr>
          <w:rFonts w:cs="Arial"/>
        </w:rPr>
        <w:t>the UK</w:t>
      </w:r>
      <w:r w:rsidRPr="00BD551A">
        <w:rPr>
          <w:rFonts w:cs="Arial"/>
        </w:rPr>
        <w:t xml:space="preserve">, wind is already one of the largest contributors to electricity generation and the proportion of power coming from renewables continues to rise year on year. </w:t>
      </w:r>
      <w:r>
        <w:rPr>
          <w:rFonts w:cs="Arial"/>
        </w:rPr>
        <w:t xml:space="preserve">In fact, </w:t>
      </w:r>
      <w:r w:rsidRPr="0062039A">
        <w:rPr>
          <w:rFonts w:cs="Arial"/>
        </w:rPr>
        <w:t xml:space="preserve">2025 saw renewables produce a record </w:t>
      </w:r>
      <w:hyperlink r:id="rId13" w:history="1">
        <w:r w:rsidRPr="0062039A">
          <w:rPr>
            <w:rStyle w:val="Hyperlink"/>
            <w:rFonts w:cs="Arial"/>
          </w:rPr>
          <w:t>44 per cent of our electricity</w:t>
        </w:r>
      </w:hyperlink>
      <w:r>
        <w:rPr>
          <w:rFonts w:cs="Arial"/>
        </w:rPr>
        <w:t xml:space="preserve">, </w:t>
      </w:r>
      <w:r w:rsidRPr="0062039A">
        <w:rPr>
          <w:rFonts w:cs="Arial"/>
        </w:rPr>
        <w:t>amounting to a total of more than 127 terawatt hours (TWh) of electricity for Britain</w:t>
      </w:r>
      <w:r>
        <w:rPr>
          <w:rFonts w:cs="Arial"/>
        </w:rPr>
        <w:t xml:space="preserve">, </w:t>
      </w:r>
      <w:r w:rsidRPr="0062039A">
        <w:rPr>
          <w:rFonts w:cs="Arial"/>
        </w:rPr>
        <w:t>the highest ever recorded</w:t>
      </w:r>
      <w:r>
        <w:rPr>
          <w:rFonts w:cs="Arial"/>
        </w:rPr>
        <w:t xml:space="preserve">. </w:t>
      </w:r>
    </w:p>
    <w:p w14:paraId="620617FB" w14:textId="77777777" w:rsidR="00B74F1E" w:rsidRDefault="00B74F1E" w:rsidP="00B74F1E">
      <w:pPr>
        <w:spacing w:line="480" w:lineRule="auto"/>
        <w:jc w:val="both"/>
        <w:rPr>
          <w:rFonts w:cs="Arial"/>
        </w:rPr>
      </w:pPr>
    </w:p>
    <w:p w14:paraId="1ED2E0DC" w14:textId="02C939A7" w:rsidR="00B74F1E" w:rsidRPr="00BD551A" w:rsidRDefault="00B74F1E" w:rsidP="00B74F1E">
      <w:pPr>
        <w:spacing w:line="480" w:lineRule="auto"/>
        <w:jc w:val="both"/>
        <w:rPr>
          <w:rFonts w:cs="Arial"/>
        </w:rPr>
      </w:pPr>
      <w:r w:rsidRPr="00BD551A">
        <w:rPr>
          <w:rFonts w:cs="Arial"/>
        </w:rPr>
        <w:t xml:space="preserve">Similar trends are visible across Europe. </w:t>
      </w:r>
      <w:hyperlink r:id="rId14" w:history="1">
        <w:r w:rsidR="00490BD2" w:rsidRPr="001F0F0E">
          <w:rPr>
            <w:rStyle w:val="Hyperlink"/>
            <w:rFonts w:cs="Arial"/>
          </w:rPr>
          <w:t xml:space="preserve">The </w:t>
        </w:r>
        <w:r w:rsidR="00F83F13" w:rsidRPr="001F0F0E">
          <w:rPr>
            <w:rStyle w:val="Hyperlink"/>
            <w:rFonts w:cs="Arial"/>
          </w:rPr>
          <w:t>International Renewable Energy Agency</w:t>
        </w:r>
      </w:hyperlink>
      <w:r w:rsidR="00F83F13">
        <w:rPr>
          <w:rFonts w:cs="Arial"/>
        </w:rPr>
        <w:t xml:space="preserve"> report</w:t>
      </w:r>
      <w:r w:rsidR="001F0F0E">
        <w:rPr>
          <w:rFonts w:cs="Arial"/>
        </w:rPr>
        <w:t>s</w:t>
      </w:r>
      <w:r w:rsidR="00F83F13">
        <w:rPr>
          <w:rFonts w:cs="Arial"/>
        </w:rPr>
        <w:t xml:space="preserve"> </w:t>
      </w:r>
      <w:r w:rsidR="009042BF">
        <w:rPr>
          <w:rFonts w:cs="Arial"/>
        </w:rPr>
        <w:t xml:space="preserve">a renewables capacity of 934, 334 </w:t>
      </w:r>
      <w:r w:rsidR="001F0F0E">
        <w:rPr>
          <w:rFonts w:cs="Arial"/>
        </w:rPr>
        <w:t xml:space="preserve">MW across the region. </w:t>
      </w:r>
      <w:r w:rsidRPr="00BD551A">
        <w:rPr>
          <w:rFonts w:cs="Arial"/>
        </w:rPr>
        <w:t>The direction of travel is clear</w:t>
      </w:r>
      <w:r>
        <w:rPr>
          <w:rFonts w:cs="Arial"/>
        </w:rPr>
        <w:t>. R</w:t>
      </w:r>
      <w:r w:rsidRPr="00BD551A">
        <w:rPr>
          <w:rFonts w:cs="Arial"/>
        </w:rPr>
        <w:t>enewable energy is no longer supplementary, it is central to the system.</w:t>
      </w:r>
      <w:r>
        <w:rPr>
          <w:rFonts w:cs="Arial"/>
        </w:rPr>
        <w:t xml:space="preserve"> </w:t>
      </w:r>
      <w:r w:rsidRPr="00BD551A">
        <w:rPr>
          <w:rFonts w:cs="Arial"/>
        </w:rPr>
        <w:t>The challenge, therefore, is not one of energy supply, but of system stability.</w:t>
      </w:r>
    </w:p>
    <w:p w14:paraId="1B09283F" w14:textId="77777777" w:rsidR="00B74F1E" w:rsidRPr="00BD551A" w:rsidRDefault="00B74F1E" w:rsidP="00B74F1E">
      <w:pPr>
        <w:spacing w:line="480" w:lineRule="auto"/>
        <w:jc w:val="both"/>
        <w:rPr>
          <w:rFonts w:cs="Arial"/>
          <w:b/>
          <w:bCs/>
        </w:rPr>
      </w:pPr>
    </w:p>
    <w:p w14:paraId="4959C7F0" w14:textId="77777777" w:rsidR="00B74F1E" w:rsidRPr="00BD551A" w:rsidRDefault="00B74F1E" w:rsidP="00B74F1E">
      <w:pPr>
        <w:spacing w:line="480" w:lineRule="auto"/>
        <w:jc w:val="both"/>
        <w:rPr>
          <w:rFonts w:cs="Arial"/>
          <w:b/>
          <w:bCs/>
        </w:rPr>
      </w:pPr>
      <w:r w:rsidRPr="00BD551A">
        <w:rPr>
          <w:rFonts w:cs="Arial"/>
          <w:b/>
          <w:bCs/>
        </w:rPr>
        <w:t>Defining stability in a changing system</w:t>
      </w:r>
    </w:p>
    <w:p w14:paraId="14580DDE" w14:textId="7EA5B4DE" w:rsidR="00B74F1E" w:rsidRDefault="00B74F1E" w:rsidP="00B74F1E">
      <w:pPr>
        <w:spacing w:line="480" w:lineRule="auto"/>
        <w:jc w:val="both"/>
        <w:rPr>
          <w:rFonts w:cs="Arial"/>
        </w:rPr>
      </w:pPr>
      <w:r w:rsidRPr="00BD551A">
        <w:rPr>
          <w:rFonts w:cs="Arial"/>
        </w:rPr>
        <w:t xml:space="preserve">To address this, system operators are evolving their approach. Rather than relying on generation assets to provide stability implicitly, they are defining, valuing and procuring specific services that ensure the grid remains secure and operable. In </w:t>
      </w:r>
      <w:r w:rsidR="00F215BC">
        <w:rPr>
          <w:rFonts w:cs="Arial"/>
        </w:rPr>
        <w:t>the UK</w:t>
      </w:r>
      <w:r w:rsidRPr="00BD551A">
        <w:rPr>
          <w:rFonts w:cs="Arial"/>
        </w:rPr>
        <w:t xml:space="preserve">, the </w:t>
      </w:r>
      <w:hyperlink r:id="rId15" w:history="1">
        <w:r w:rsidRPr="00F66F05">
          <w:rPr>
            <w:rStyle w:val="Hyperlink"/>
            <w:rFonts w:cs="Arial"/>
          </w:rPr>
          <w:t>National Energy System Operator (NESO)</w:t>
        </w:r>
      </w:hyperlink>
      <w:r w:rsidRPr="00BD551A">
        <w:rPr>
          <w:rFonts w:cs="Arial"/>
        </w:rPr>
        <w:t xml:space="preserve"> has formalised this model, creating markets for ancillary and balancing services designed to safeguard system reliability, effectively operationalising stability as a service.</w:t>
      </w:r>
    </w:p>
    <w:p w14:paraId="1118C2A9" w14:textId="77777777" w:rsidR="00B74F1E" w:rsidRPr="00BD551A" w:rsidRDefault="00B74F1E" w:rsidP="00B74F1E">
      <w:pPr>
        <w:spacing w:line="480" w:lineRule="auto"/>
        <w:jc w:val="both"/>
        <w:rPr>
          <w:rFonts w:cs="Arial"/>
        </w:rPr>
      </w:pPr>
    </w:p>
    <w:p w14:paraId="7DF08C08" w14:textId="77777777" w:rsidR="00B74F1E" w:rsidRDefault="00B74F1E" w:rsidP="00B74F1E">
      <w:pPr>
        <w:spacing w:line="480" w:lineRule="auto"/>
        <w:jc w:val="both"/>
        <w:rPr>
          <w:rFonts w:cs="Arial"/>
        </w:rPr>
      </w:pPr>
      <w:r w:rsidRPr="00BD551A">
        <w:rPr>
          <w:rFonts w:cs="Arial"/>
        </w:rPr>
        <w:t>At the heart of this approach are five core system needs.</w:t>
      </w:r>
      <w:r>
        <w:rPr>
          <w:rFonts w:cs="Arial"/>
        </w:rPr>
        <w:t xml:space="preserve"> </w:t>
      </w:r>
      <w:r w:rsidRPr="00BD551A">
        <w:rPr>
          <w:rFonts w:cs="Arial"/>
        </w:rPr>
        <w:t xml:space="preserve">The first is frequency stability. Electricity systems must operate at a constant frequency, typically 50 Hz in Europe. Any </w:t>
      </w:r>
      <w:r w:rsidRPr="00BD551A">
        <w:rPr>
          <w:rFonts w:cs="Arial"/>
        </w:rPr>
        <w:lastRenderedPageBreak/>
        <w:t>imbalance between supply and demand causes deviations that, if left unchecked, can lead to system instability or even widespread outages. With lower inertia in the system, frequency can change more rapidly, requiring faster and more precise responses. As a result, operators are increasingly procuring active power response services that can react almost instantaneously to disturbances.</w:t>
      </w:r>
    </w:p>
    <w:p w14:paraId="1039096B" w14:textId="77777777" w:rsidR="00B74F1E" w:rsidRPr="00BD551A" w:rsidRDefault="00B74F1E" w:rsidP="00B74F1E">
      <w:pPr>
        <w:spacing w:line="480" w:lineRule="auto"/>
        <w:jc w:val="both"/>
        <w:rPr>
          <w:rFonts w:cs="Arial"/>
        </w:rPr>
      </w:pPr>
    </w:p>
    <w:p w14:paraId="772B00BF" w14:textId="77777777" w:rsidR="00B74F1E" w:rsidRDefault="00B74F1E" w:rsidP="00B74F1E">
      <w:pPr>
        <w:spacing w:line="480" w:lineRule="auto"/>
        <w:jc w:val="both"/>
        <w:rPr>
          <w:rFonts w:cs="Arial"/>
        </w:rPr>
      </w:pPr>
      <w:r w:rsidRPr="00BD551A">
        <w:rPr>
          <w:rFonts w:cs="Arial"/>
        </w:rPr>
        <w:t>The second is voltage control. Maintaining voltage within acceptable limits is essential for the safe operation of equipment and the integrity of the network. Reactive power plays a central role here, but as conventional generators retire, this capability is diminishing. Dedicated voltage support services are therefore becoming critical, ensuring that transmission nodes remain within operational boundaries even under dynamic conditions.</w:t>
      </w:r>
    </w:p>
    <w:p w14:paraId="47C8860A" w14:textId="77777777" w:rsidR="00B74F1E" w:rsidRPr="00BD551A" w:rsidRDefault="00B74F1E" w:rsidP="00B74F1E">
      <w:pPr>
        <w:spacing w:line="480" w:lineRule="auto"/>
        <w:jc w:val="both"/>
        <w:rPr>
          <w:rFonts w:cs="Arial"/>
        </w:rPr>
      </w:pPr>
    </w:p>
    <w:p w14:paraId="72CB01C6" w14:textId="77777777" w:rsidR="00B74F1E" w:rsidRDefault="00B74F1E" w:rsidP="00B74F1E">
      <w:pPr>
        <w:spacing w:line="480" w:lineRule="auto"/>
        <w:jc w:val="both"/>
        <w:rPr>
          <w:rFonts w:cs="Arial"/>
        </w:rPr>
      </w:pPr>
      <w:r w:rsidRPr="00BD551A">
        <w:rPr>
          <w:rFonts w:cs="Arial"/>
        </w:rPr>
        <w:t>Third is system strength, encompassing inertia, fault level and overall robustness. A strong system can absorb disturbances, dampen oscillations and recover quickly from faults. A weak system, by contrast, is more prone to cascading failures. With the natural contribution of synchronous machines declining, system operators are now explicitly procuring services that replicate or replace these characteristics, ensuring resilience in a power-electronics-dominated grid.</w:t>
      </w:r>
    </w:p>
    <w:p w14:paraId="71100874" w14:textId="77777777" w:rsidR="00B74F1E" w:rsidRPr="00BD551A" w:rsidRDefault="00B74F1E" w:rsidP="00B74F1E">
      <w:pPr>
        <w:spacing w:line="480" w:lineRule="auto"/>
        <w:jc w:val="both"/>
        <w:rPr>
          <w:rFonts w:cs="Arial"/>
        </w:rPr>
      </w:pPr>
    </w:p>
    <w:p w14:paraId="0F215057" w14:textId="77777777" w:rsidR="00B74F1E" w:rsidRDefault="00B74F1E" w:rsidP="00B74F1E">
      <w:pPr>
        <w:spacing w:line="480" w:lineRule="auto"/>
        <w:jc w:val="both"/>
        <w:rPr>
          <w:rFonts w:cs="Arial"/>
        </w:rPr>
      </w:pPr>
      <w:r w:rsidRPr="00BD551A">
        <w:rPr>
          <w:rFonts w:cs="Arial"/>
        </w:rPr>
        <w:t xml:space="preserve">The fourth need is constraint management. As renewable generation grows, power flows across the network are becoming more complex and less predictable. Transmission constraints, whether thermal or stability-related, can limit the ability to move electricity from where it is generated to where it is needed. Managing these constraints requires </w:t>
      </w:r>
      <w:r w:rsidRPr="00BD551A">
        <w:rPr>
          <w:rFonts w:cs="Arial"/>
        </w:rPr>
        <w:lastRenderedPageBreak/>
        <w:t>flexible resources that can relieve congestion and maintain secure operation without unnecessary curtailment of renewable generation.</w:t>
      </w:r>
    </w:p>
    <w:p w14:paraId="0C13D95F" w14:textId="77777777" w:rsidR="00B74F1E" w:rsidRPr="00BD551A" w:rsidRDefault="00B74F1E" w:rsidP="00B74F1E">
      <w:pPr>
        <w:spacing w:line="480" w:lineRule="auto"/>
        <w:jc w:val="both"/>
        <w:rPr>
          <w:rFonts w:cs="Arial"/>
        </w:rPr>
      </w:pPr>
    </w:p>
    <w:p w14:paraId="7086DB17" w14:textId="77777777" w:rsidR="00B74F1E" w:rsidRDefault="00B74F1E" w:rsidP="00B74F1E">
      <w:pPr>
        <w:spacing w:line="480" w:lineRule="auto"/>
        <w:jc w:val="both"/>
        <w:rPr>
          <w:rFonts w:cs="Arial"/>
        </w:rPr>
      </w:pPr>
      <w:r w:rsidRPr="00BD551A">
        <w:rPr>
          <w:rFonts w:cs="Arial"/>
        </w:rPr>
        <w:t>Finally, there is system restoration. In the unlikely event of a full or partial system shutdown, the ability to restart the grid safely and efficiently is essential. Traditionally, this relied on large conventional plants with black start capability. Today, new technologies are being developed and procured to fulfil this role, reflecting the changing generation mix.</w:t>
      </w:r>
    </w:p>
    <w:p w14:paraId="008FE96F" w14:textId="77777777" w:rsidR="00B74F1E" w:rsidRPr="00BD551A" w:rsidRDefault="00B74F1E" w:rsidP="00B74F1E">
      <w:pPr>
        <w:spacing w:line="480" w:lineRule="auto"/>
        <w:jc w:val="both"/>
        <w:rPr>
          <w:rFonts w:cs="Arial"/>
        </w:rPr>
      </w:pPr>
    </w:p>
    <w:p w14:paraId="2BFB0657" w14:textId="77777777" w:rsidR="00B74F1E" w:rsidRPr="00BD551A" w:rsidRDefault="00B74F1E" w:rsidP="00B74F1E">
      <w:pPr>
        <w:spacing w:line="480" w:lineRule="auto"/>
        <w:jc w:val="both"/>
        <w:rPr>
          <w:rFonts w:cs="Arial"/>
        </w:rPr>
      </w:pPr>
      <w:r w:rsidRPr="00BD551A">
        <w:rPr>
          <w:rFonts w:cs="Arial"/>
        </w:rPr>
        <w:t>Together, these five pillars form the foundation of stability as a service. They represent a shift towards a more granular, market-based approach to grid reliability, where specific capabilities are defined, valued and delivered by a range of technologies.</w:t>
      </w:r>
    </w:p>
    <w:p w14:paraId="582F083A" w14:textId="77777777" w:rsidR="00B74F1E" w:rsidRPr="00BD551A" w:rsidRDefault="00B74F1E" w:rsidP="00B74F1E">
      <w:pPr>
        <w:spacing w:line="480" w:lineRule="auto"/>
        <w:jc w:val="both"/>
        <w:rPr>
          <w:rFonts w:cs="Arial"/>
          <w:b/>
          <w:bCs/>
        </w:rPr>
      </w:pPr>
    </w:p>
    <w:p w14:paraId="1F5B8F7F" w14:textId="77777777" w:rsidR="00B74F1E" w:rsidRPr="00BD551A" w:rsidRDefault="00B74F1E" w:rsidP="00B74F1E">
      <w:pPr>
        <w:spacing w:line="480" w:lineRule="auto"/>
        <w:jc w:val="both"/>
        <w:rPr>
          <w:rFonts w:cs="Arial"/>
          <w:b/>
          <w:bCs/>
        </w:rPr>
      </w:pPr>
      <w:r w:rsidRPr="00BD551A">
        <w:rPr>
          <w:rFonts w:cs="Arial"/>
          <w:b/>
          <w:bCs/>
        </w:rPr>
        <w:t>From concept to procurement</w:t>
      </w:r>
    </w:p>
    <w:p w14:paraId="169CC505" w14:textId="77777777" w:rsidR="00B74F1E" w:rsidRDefault="00B74F1E" w:rsidP="00B74F1E">
      <w:pPr>
        <w:spacing w:line="480" w:lineRule="auto"/>
        <w:jc w:val="both"/>
        <w:rPr>
          <w:rFonts w:cs="Arial"/>
        </w:rPr>
      </w:pPr>
      <w:r w:rsidRPr="00BD551A">
        <w:rPr>
          <w:rFonts w:cs="Arial"/>
        </w:rPr>
        <w:t>This shift is already being translated into large-scale procurement. NESO’s Long Term 2029 Network Services tender, for example, brings together the simultaneous procurement of stability, reactive power and restoration services, signalling how these markets are evolving in both scale and sophistication. For technology providers and partners, this represents a clear move towards long-term, system-level solutions, an area where WEG is actively engaged.</w:t>
      </w:r>
    </w:p>
    <w:p w14:paraId="173F080B" w14:textId="77777777" w:rsidR="00B74F1E" w:rsidRPr="00BD551A" w:rsidRDefault="00B74F1E" w:rsidP="00B74F1E">
      <w:pPr>
        <w:spacing w:line="480" w:lineRule="auto"/>
        <w:jc w:val="both"/>
        <w:rPr>
          <w:rFonts w:cs="Arial"/>
        </w:rPr>
      </w:pPr>
    </w:p>
    <w:p w14:paraId="68243C73" w14:textId="77777777" w:rsidR="00B74F1E" w:rsidRDefault="00B74F1E" w:rsidP="00B74F1E">
      <w:pPr>
        <w:spacing w:line="480" w:lineRule="auto"/>
        <w:jc w:val="both"/>
        <w:rPr>
          <w:rFonts w:cs="Arial"/>
        </w:rPr>
      </w:pPr>
      <w:r w:rsidRPr="00BD551A">
        <w:rPr>
          <w:rFonts w:cs="Arial"/>
        </w:rPr>
        <w:t xml:space="preserve">This evolution is also driving innovation in how stability is provided. Technologies such as </w:t>
      </w:r>
      <w:hyperlink r:id="rId16" w:history="1">
        <w:r w:rsidRPr="0062039A">
          <w:rPr>
            <w:rStyle w:val="Hyperlink"/>
            <w:rFonts w:cs="Arial"/>
          </w:rPr>
          <w:t>synchronous condensers</w:t>
        </w:r>
      </w:hyperlink>
      <w:r w:rsidRPr="00BD551A">
        <w:rPr>
          <w:rFonts w:cs="Arial"/>
        </w:rPr>
        <w:t xml:space="preserve"> and </w:t>
      </w:r>
      <w:hyperlink r:id="rId17" w:history="1">
        <w:r w:rsidRPr="0062039A">
          <w:rPr>
            <w:rStyle w:val="Hyperlink"/>
            <w:rFonts w:cs="Arial"/>
          </w:rPr>
          <w:t>battery energy storage systems (BESS)</w:t>
        </w:r>
      </w:hyperlink>
      <w:r>
        <w:rPr>
          <w:rFonts w:cs="Arial"/>
        </w:rPr>
        <w:t xml:space="preserve"> </w:t>
      </w:r>
      <w:r w:rsidRPr="00BD551A">
        <w:rPr>
          <w:rFonts w:cs="Arial"/>
        </w:rPr>
        <w:t xml:space="preserve">are playing an </w:t>
      </w:r>
      <w:r w:rsidRPr="00BD551A">
        <w:rPr>
          <w:rFonts w:cs="Arial"/>
        </w:rPr>
        <w:lastRenderedPageBreak/>
        <w:t xml:space="preserve">increasingly important role. Synchronous condensers can deliver physical inertia, reactive power and short circuit strength, closely replicating the characteristics of traditional generators. </w:t>
      </w:r>
    </w:p>
    <w:p w14:paraId="512FF94B" w14:textId="77777777" w:rsidR="00B74F1E" w:rsidRDefault="00B74F1E" w:rsidP="00B74F1E">
      <w:pPr>
        <w:spacing w:line="480" w:lineRule="auto"/>
        <w:jc w:val="both"/>
        <w:rPr>
          <w:rFonts w:cs="Arial"/>
        </w:rPr>
      </w:pPr>
    </w:p>
    <w:p w14:paraId="387B9334" w14:textId="77777777" w:rsidR="00B74F1E" w:rsidRDefault="00B74F1E" w:rsidP="00B74F1E">
      <w:pPr>
        <w:spacing w:line="480" w:lineRule="auto"/>
        <w:jc w:val="both"/>
        <w:rPr>
          <w:rFonts w:cs="Arial"/>
        </w:rPr>
      </w:pPr>
      <w:r w:rsidRPr="00BD551A">
        <w:rPr>
          <w:rFonts w:cs="Arial"/>
        </w:rPr>
        <w:t xml:space="preserve">Meanwhile, </w:t>
      </w:r>
      <w:r>
        <w:rPr>
          <w:rFonts w:cs="Arial"/>
        </w:rPr>
        <w:t xml:space="preserve">according to </w:t>
      </w:r>
      <w:hyperlink r:id="rId18" w:history="1">
        <w:proofErr w:type="spellStart"/>
        <w:r w:rsidRPr="00F66F05">
          <w:rPr>
            <w:rStyle w:val="Hyperlink"/>
            <w:rFonts w:cs="Arial"/>
          </w:rPr>
          <w:t>RenewableUK</w:t>
        </w:r>
        <w:proofErr w:type="spellEnd"/>
      </w:hyperlink>
      <w:r>
        <w:rPr>
          <w:rFonts w:cs="Arial"/>
        </w:rPr>
        <w:t xml:space="preserve"> </w:t>
      </w:r>
      <w:r w:rsidRPr="00F66F05">
        <w:rPr>
          <w:rFonts w:cs="Arial"/>
        </w:rPr>
        <w:t xml:space="preserve">the </w:t>
      </w:r>
      <w:r>
        <w:rPr>
          <w:rFonts w:cs="Arial"/>
        </w:rPr>
        <w:t xml:space="preserve">UK </w:t>
      </w:r>
      <w:r w:rsidRPr="00F66F05">
        <w:rPr>
          <w:rFonts w:cs="Arial"/>
        </w:rPr>
        <w:t>has more than 6.8GW/10.5GWh of operational battery storage</w:t>
      </w:r>
      <w:r>
        <w:rPr>
          <w:rFonts w:cs="Arial"/>
        </w:rPr>
        <w:t xml:space="preserve"> </w:t>
      </w:r>
      <w:r w:rsidRPr="00F66F05">
        <w:rPr>
          <w:rFonts w:cs="Arial"/>
        </w:rPr>
        <w:t xml:space="preserve">and continues to grow rapidly as operators seek fast-response flexibility to support grid stability. </w:t>
      </w:r>
      <w:r>
        <w:rPr>
          <w:rFonts w:cs="Arial"/>
        </w:rPr>
        <w:t>B</w:t>
      </w:r>
      <w:r w:rsidRPr="00BD551A">
        <w:rPr>
          <w:rFonts w:cs="Arial"/>
        </w:rPr>
        <w:t>attery systems provide ultra-fast frequency response, synthetic inertia, voltage support and black start capability, supporting multiple system needs simultaneously.</w:t>
      </w:r>
    </w:p>
    <w:p w14:paraId="77CB0D60" w14:textId="77777777" w:rsidR="00B74F1E" w:rsidRPr="00BD551A" w:rsidRDefault="00B74F1E" w:rsidP="00B74F1E">
      <w:pPr>
        <w:spacing w:line="480" w:lineRule="auto"/>
        <w:jc w:val="both"/>
        <w:rPr>
          <w:rFonts w:cs="Arial"/>
        </w:rPr>
      </w:pPr>
    </w:p>
    <w:p w14:paraId="43CD13C3" w14:textId="77777777" w:rsidR="00B74F1E" w:rsidRPr="00BD551A" w:rsidRDefault="00B74F1E" w:rsidP="00B74F1E">
      <w:pPr>
        <w:spacing w:line="480" w:lineRule="auto"/>
        <w:jc w:val="both"/>
        <w:rPr>
          <w:rFonts w:cs="Arial"/>
        </w:rPr>
      </w:pPr>
      <w:r w:rsidRPr="00BD551A">
        <w:rPr>
          <w:rFonts w:cs="Arial"/>
        </w:rPr>
        <w:t>Crucially, these technologies are not simply replacements for conventional assets. They are part of a broader transformation towards a more flexible, responsive and digitally managed energy system. Stability is no longer tied to a single type of generation, but delivered through a coordinated mix of assets and services.</w:t>
      </w:r>
    </w:p>
    <w:p w14:paraId="2D7BEB4B" w14:textId="77777777" w:rsidR="00B74F1E" w:rsidRPr="00BD551A" w:rsidRDefault="00B74F1E" w:rsidP="00B74F1E">
      <w:pPr>
        <w:spacing w:line="480" w:lineRule="auto"/>
        <w:jc w:val="both"/>
        <w:rPr>
          <w:rFonts w:cs="Arial"/>
          <w:b/>
          <w:bCs/>
        </w:rPr>
      </w:pPr>
    </w:p>
    <w:p w14:paraId="05FE72B8" w14:textId="77777777" w:rsidR="00B74F1E" w:rsidRPr="00BD551A" w:rsidRDefault="00B74F1E" w:rsidP="00B74F1E">
      <w:pPr>
        <w:spacing w:line="480" w:lineRule="auto"/>
        <w:jc w:val="both"/>
        <w:rPr>
          <w:rFonts w:cs="Arial"/>
          <w:b/>
          <w:bCs/>
        </w:rPr>
      </w:pPr>
      <w:r w:rsidRPr="00BD551A">
        <w:rPr>
          <w:rFonts w:cs="Arial"/>
          <w:b/>
          <w:bCs/>
        </w:rPr>
        <w:t>Building resilient systems for a net zero future</w:t>
      </w:r>
    </w:p>
    <w:p w14:paraId="0D83A17D" w14:textId="77777777" w:rsidR="00B74F1E" w:rsidRDefault="00B74F1E" w:rsidP="00B74F1E">
      <w:pPr>
        <w:spacing w:line="480" w:lineRule="auto"/>
        <w:jc w:val="both"/>
        <w:rPr>
          <w:rFonts w:cs="Arial"/>
        </w:rPr>
      </w:pPr>
      <w:r w:rsidRPr="00BD551A">
        <w:rPr>
          <w:rFonts w:cs="Arial"/>
        </w:rPr>
        <w:t>Looking beyond the UK, this model is gaining traction across Europe. As countries pursue ambitious decarbonisation targets and increase their reliance on renewable energy, the need for explicit stability services will only grow. Market frameworks are evolving to accommodate this, creating new opportunities for investment and innovation.</w:t>
      </w:r>
    </w:p>
    <w:p w14:paraId="0DD6E512" w14:textId="77777777" w:rsidR="00B74F1E" w:rsidRPr="00BD551A" w:rsidRDefault="00B74F1E" w:rsidP="00B74F1E">
      <w:pPr>
        <w:spacing w:line="480" w:lineRule="auto"/>
        <w:jc w:val="both"/>
        <w:rPr>
          <w:rFonts w:cs="Arial"/>
        </w:rPr>
      </w:pPr>
    </w:p>
    <w:p w14:paraId="081EA0E9" w14:textId="77777777" w:rsidR="00B74F1E" w:rsidRDefault="00B74F1E" w:rsidP="00B74F1E">
      <w:pPr>
        <w:spacing w:line="480" w:lineRule="auto"/>
        <w:jc w:val="both"/>
        <w:rPr>
          <w:rFonts w:cs="Arial"/>
        </w:rPr>
      </w:pPr>
      <w:r w:rsidRPr="00BD551A">
        <w:rPr>
          <w:rFonts w:cs="Arial"/>
        </w:rPr>
        <w:t xml:space="preserve">However, the transition is not without challenges. Designing effective markets for stability services requires careful consideration of technical requirements, commercial incentives </w:t>
      </w:r>
      <w:r w:rsidRPr="00BD551A">
        <w:rPr>
          <w:rFonts w:cs="Arial"/>
        </w:rPr>
        <w:lastRenderedPageBreak/>
        <w:t>and system-wide coordination. It also demands a shift in mindset, recognising that reliability is not an automatic outcome, but something that must be engineered and maintained.</w:t>
      </w:r>
    </w:p>
    <w:p w14:paraId="1A0FB50E" w14:textId="77777777" w:rsidR="00B74F1E" w:rsidRPr="00BD551A" w:rsidRDefault="00B74F1E" w:rsidP="00B74F1E">
      <w:pPr>
        <w:spacing w:line="480" w:lineRule="auto"/>
        <w:jc w:val="both"/>
        <w:rPr>
          <w:rFonts w:cs="Arial"/>
        </w:rPr>
      </w:pPr>
    </w:p>
    <w:p w14:paraId="67A1AC94" w14:textId="77777777" w:rsidR="00B74F1E" w:rsidRDefault="00B74F1E" w:rsidP="00B74F1E">
      <w:pPr>
        <w:spacing w:line="480" w:lineRule="auto"/>
        <w:jc w:val="both"/>
        <w:rPr>
          <w:rFonts w:cs="Arial"/>
        </w:rPr>
      </w:pPr>
      <w:r w:rsidRPr="00BD551A">
        <w:rPr>
          <w:rFonts w:cs="Arial"/>
        </w:rPr>
        <w:t>What is clear is that the energy transition is entering a new phase. The focus is no longer solely on adding renewable capacity, but on ensuring that the system as a whole remains secure, resilient and fit for purpose.</w:t>
      </w:r>
    </w:p>
    <w:p w14:paraId="4066A972" w14:textId="77777777" w:rsidR="00B74F1E" w:rsidRPr="00BD551A" w:rsidRDefault="00B74F1E" w:rsidP="00B74F1E">
      <w:pPr>
        <w:spacing w:line="480" w:lineRule="auto"/>
        <w:jc w:val="both"/>
        <w:rPr>
          <w:rFonts w:cs="Arial"/>
        </w:rPr>
      </w:pPr>
    </w:p>
    <w:p w14:paraId="3D7F41AC" w14:textId="77777777" w:rsidR="00B74F1E" w:rsidRDefault="00B74F1E" w:rsidP="00B74F1E">
      <w:pPr>
        <w:spacing w:line="480" w:lineRule="auto"/>
        <w:jc w:val="both"/>
        <w:rPr>
          <w:rFonts w:cs="Arial"/>
        </w:rPr>
      </w:pPr>
      <w:r w:rsidRPr="00BD551A">
        <w:rPr>
          <w:rFonts w:cs="Arial"/>
        </w:rPr>
        <w:t>Stability as a service is not just a technical concept. It is a fundamental redefinition of how modern power systems operate. As renewable generation continues to scale, it will play an increasingly central role in keeping the lights on across Europe.</w:t>
      </w:r>
    </w:p>
    <w:p w14:paraId="5607335B" w14:textId="77777777" w:rsidR="00B74F1E" w:rsidRDefault="00B74F1E" w:rsidP="00B74F1E">
      <w:pPr>
        <w:spacing w:line="480" w:lineRule="auto"/>
        <w:jc w:val="both"/>
        <w:rPr>
          <w:rFonts w:cs="Arial"/>
        </w:rPr>
      </w:pPr>
    </w:p>
    <w:p w14:paraId="6D4A1C06" w14:textId="097E6D0D" w:rsidR="00B74F1E" w:rsidRPr="00DF574F" w:rsidRDefault="00B74F1E" w:rsidP="00B74F1E">
      <w:pPr>
        <w:spacing w:line="480" w:lineRule="auto"/>
        <w:jc w:val="both"/>
        <w:rPr>
          <w:rFonts w:cs="Arial"/>
          <w:i/>
          <w:iCs/>
          <w:color w:val="000000" w:themeColor="text1"/>
        </w:rPr>
      </w:pPr>
      <w:r w:rsidRPr="00DF574F">
        <w:rPr>
          <w:rFonts w:cs="Arial"/>
          <w:i/>
          <w:iCs/>
          <w:color w:val="000000" w:themeColor="text1"/>
        </w:rPr>
        <w:t xml:space="preserve">To learn more about WEG’s </w:t>
      </w:r>
      <w:hyperlink r:id="rId19" w:history="1">
        <w:r w:rsidRPr="00541B44">
          <w:rPr>
            <w:rStyle w:val="Hyperlink"/>
            <w:rFonts w:cs="Arial"/>
            <w:i/>
            <w:iCs/>
          </w:rPr>
          <w:t>synchronous condenser</w:t>
        </w:r>
      </w:hyperlink>
      <w:r w:rsidRPr="00DF574F">
        <w:rPr>
          <w:rFonts w:cs="Arial"/>
          <w:i/>
          <w:iCs/>
          <w:color w:val="000000" w:themeColor="text1"/>
        </w:rPr>
        <w:t xml:space="preserve"> and </w:t>
      </w:r>
      <w:hyperlink r:id="rId20" w:history="1">
        <w:r w:rsidRPr="00DF574F">
          <w:rPr>
            <w:rStyle w:val="Hyperlink"/>
            <w:rFonts w:cs="Arial"/>
            <w:i/>
            <w:iCs/>
          </w:rPr>
          <w:t>BESS technology</w:t>
        </w:r>
      </w:hyperlink>
      <w:r w:rsidRPr="00DF574F">
        <w:rPr>
          <w:rFonts w:cs="Arial"/>
          <w:i/>
          <w:iCs/>
          <w:color w:val="000000" w:themeColor="text1"/>
        </w:rPr>
        <w:t xml:space="preserve"> and its role in energy grid stability, visit WEG's website.</w:t>
      </w:r>
    </w:p>
    <w:p w14:paraId="5D2DCB52" w14:textId="77777777" w:rsidR="003E5474" w:rsidRPr="005076D1" w:rsidRDefault="003E5474" w:rsidP="003E5474">
      <w:pPr>
        <w:rPr>
          <w:rFonts w:cs="Arial"/>
        </w:rPr>
      </w:pPr>
    </w:p>
    <w:p w14:paraId="5D2DCB53" w14:textId="09B1687D"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B74F1E">
        <w:rPr>
          <w:rFonts w:eastAsia="MS Mincho" w:cs="Arial"/>
        </w:rPr>
        <w:t>1</w:t>
      </w:r>
      <w:r w:rsidR="000F4D3E">
        <w:rPr>
          <w:rFonts w:eastAsia="MS Mincho" w:cs="Arial"/>
        </w:rPr>
        <w:t>330</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77777777" w:rsidR="00924FCE" w:rsidRPr="008A6A7A" w:rsidRDefault="00924FCE" w:rsidP="008A6A7A">
      <w:r w:rsidRPr="00F603CF">
        <w:rPr>
          <w:rFonts w:eastAsia="MS Mincho"/>
          <w:b/>
          <w:color w:val="4472C4"/>
        </w:rPr>
        <w:t>Image caption:</w:t>
      </w:r>
      <w:r w:rsidRPr="008A6A7A">
        <w:rPr>
          <w:rFonts w:eastAsia="MS Mincho"/>
          <w:b/>
          <w:color w:val="FF9933"/>
        </w:rPr>
        <w:t xml:space="preserve"> </w:t>
      </w:r>
      <w:r w:rsidRPr="008A6A7A">
        <w:t>INSERT IMAGE CAPTION HERE</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21"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59D6186" w14:textId="77777777" w:rsidR="00D738E3" w:rsidRPr="00633467"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p>
    <w:p w14:paraId="21B3150B" w14:textId="77777777" w:rsidR="00D738E3" w:rsidRPr="004E6D19" w:rsidRDefault="00D738E3" w:rsidP="00D738E3">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w:t>
      </w:r>
      <w:proofErr w:type="spellStart"/>
      <w:r w:rsidRPr="004E6D19">
        <w:rPr>
          <w:color w:val="000000" w:themeColor="text1"/>
          <w:lang w:eastAsia="en-GB"/>
        </w:rPr>
        <w:t>Mattenhof</w:t>
      </w:r>
      <w:proofErr w:type="spellEnd"/>
      <w:r w:rsidRPr="004E6D19">
        <w:rPr>
          <w:color w:val="000000" w:themeColor="text1"/>
          <w:lang w:eastAsia="en-GB"/>
        </w:rPr>
        <w:t xml:space="preserve"> 16a, 6010 Kriens, Switzerland. </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22" w:history="1">
        <w:r w:rsidRPr="00CE329E">
          <w:rPr>
            <w:rStyle w:val="Hyperlink"/>
            <w:rFonts w:cs="Arial"/>
          </w:rPr>
          <w:t>www.weg.net</w:t>
        </w:r>
      </w:hyperlink>
      <w:r w:rsidRPr="00CE329E">
        <w:rPr>
          <w:bCs/>
        </w:rPr>
        <w:t xml:space="preserve"> </w:t>
      </w:r>
    </w:p>
    <w:p w14:paraId="6959D219" w14:textId="77777777"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23" w:history="1">
        <w:r w:rsidRPr="004E6D19">
          <w:rPr>
            <w:rStyle w:val="Hyperlink"/>
            <w:lang w:eastAsia="en-GB"/>
          </w:rPr>
          <w:t>info-ch@weg.net</w:t>
        </w:r>
      </w:hyperlink>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lastRenderedPageBreak/>
        <w:t>e-mail:</w:t>
      </w:r>
      <w:r w:rsidRPr="004E6D19">
        <w:rPr>
          <w:rFonts w:eastAsia="MS Mincho"/>
          <w:color w:val="00B050"/>
          <w:spacing w:val="-3"/>
        </w:rPr>
        <w:t xml:space="preserve"> </w:t>
      </w:r>
      <w:hyperlink r:id="rId24" w:history="1">
        <w:r w:rsidRPr="004E6D19">
          <w:rPr>
            <w:rStyle w:val="Hyperlink"/>
            <w:rFonts w:eastAsia="MS Mincho"/>
            <w:spacing w:val="-3"/>
          </w:rPr>
          <w:t>stephanie@stonejunction.co.uk</w:t>
        </w:r>
      </w:hyperlink>
      <w:r w:rsidRPr="004E6D19">
        <w:rPr>
          <w:rFonts w:eastAsia="MS Mincho"/>
          <w:spacing w:val="-3"/>
        </w:rPr>
        <w:t xml:space="preserve"> or </w:t>
      </w:r>
      <w:hyperlink r:id="rId25"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r w:rsidRPr="004E6D19">
        <w:rPr>
          <w:rFonts w:eastAsia="MS Mincho"/>
          <w:b/>
          <w:bCs/>
          <w:color w:val="4472C4"/>
          <w:lang w:val="fr-FR"/>
        </w:rPr>
        <w:t>www:</w:t>
      </w:r>
      <w:r w:rsidRPr="004E6D19">
        <w:rPr>
          <w:rFonts w:eastAsia="MS Mincho"/>
          <w:color w:val="00B050"/>
          <w:spacing w:val="-3"/>
          <w:lang w:val="fr-FR"/>
        </w:rPr>
        <w:t xml:space="preserve"> </w:t>
      </w:r>
      <w:hyperlink r:id="rId26"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r>
        <w:rPr>
          <w:rFonts w:eastAsia="MS Mincho"/>
          <w:b/>
          <w:bCs/>
          <w:color w:val="4472C4"/>
          <w:lang w:val="fr-FR"/>
        </w:rPr>
        <w:t>X</w:t>
      </w:r>
      <w:r w:rsidR="00D738E3" w:rsidRPr="004E6D19">
        <w:rPr>
          <w:rFonts w:eastAsia="MS Mincho"/>
          <w:b/>
          <w:bCs/>
          <w:color w:val="4472C4"/>
          <w:lang w:val="fr-FR"/>
        </w:rPr>
        <w:t>:</w:t>
      </w:r>
      <w:r w:rsidR="00D738E3" w:rsidRPr="004E6D19">
        <w:rPr>
          <w:rFonts w:eastAsia="MS Mincho"/>
          <w:b/>
          <w:bCs/>
          <w:color w:val="00529C"/>
          <w:spacing w:val="-3"/>
          <w:lang w:val="fr-FR"/>
        </w:rPr>
        <w:t xml:space="preserve"> </w:t>
      </w:r>
      <w:hyperlink r:id="rId27"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r w:rsidRPr="004E6D19">
        <w:rPr>
          <w:rFonts w:eastAsia="MS Mincho"/>
          <w:b/>
          <w:bCs/>
          <w:color w:val="00B050"/>
          <w:spacing w:val="-3"/>
          <w:lang w:val="fr-FR"/>
        </w:rPr>
        <w:t xml:space="preserve"> </w:t>
      </w:r>
      <w:hyperlink r:id="rId28"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r w:rsidRPr="004E6D19">
        <w:rPr>
          <w:rFonts w:eastAsia="MS Mincho"/>
          <w:b/>
          <w:bCs/>
          <w:color w:val="4472C4"/>
          <w:lang w:val="fr-FR"/>
        </w:rPr>
        <w:t>LinkedIn:</w:t>
      </w:r>
      <w:r w:rsidRPr="004E6D19">
        <w:rPr>
          <w:rFonts w:eastAsia="MS Mincho"/>
          <w:noProof/>
          <w:color w:val="4472C4"/>
          <w:lang w:val="fr-FR" w:eastAsia="en-GB"/>
        </w:rPr>
        <w:t xml:space="preserve"> </w:t>
      </w:r>
      <w:hyperlink r:id="rId29"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30"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2B2DD499"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B74F1E">
        <w:rPr>
          <w:rFonts w:eastAsia="MS Mincho" w:cs="Arial"/>
          <w:spacing w:val="-3"/>
        </w:rPr>
        <w:t>1144</w:t>
      </w:r>
      <w:r w:rsidRPr="005076D1">
        <w:rPr>
          <w:rFonts w:eastAsia="MS Mincho" w:cs="Arial"/>
          <w:spacing w:val="-3"/>
        </w:rPr>
        <w:t>/</w:t>
      </w:r>
      <w:r w:rsidR="00B74F1E">
        <w:rPr>
          <w:rFonts w:eastAsia="MS Mincho" w:cs="Arial"/>
          <w:spacing w:val="-3"/>
        </w:rPr>
        <w:t>04</w:t>
      </w:r>
      <w:r w:rsidRPr="005076D1">
        <w:rPr>
          <w:rFonts w:eastAsia="MS Mincho" w:cs="Arial"/>
          <w:spacing w:val="-3"/>
        </w:rPr>
        <w:t>/</w:t>
      </w:r>
      <w:r w:rsidR="00B74F1E">
        <w:rPr>
          <w:rFonts w:eastAsia="MS Mincho" w:cs="Arial"/>
          <w:spacing w:val="-3"/>
        </w:rPr>
        <w:t>26</w:t>
      </w:r>
    </w:p>
    <w:sectPr w:rsidR="0078335C" w:rsidRPr="009834A5" w:rsidSect="006D0EBA">
      <w:headerReference w:type="first" r:id="rId3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8E944" w14:textId="77777777" w:rsidR="00544385" w:rsidRDefault="00544385" w:rsidP="00C0175F">
      <w:r>
        <w:separator/>
      </w:r>
    </w:p>
  </w:endnote>
  <w:endnote w:type="continuationSeparator" w:id="0">
    <w:p w14:paraId="6CCF4068" w14:textId="77777777" w:rsidR="00544385" w:rsidRDefault="00544385" w:rsidP="00C0175F">
      <w:r>
        <w:continuationSeparator/>
      </w:r>
    </w:p>
  </w:endnote>
  <w:endnote w:type="continuationNotice" w:id="1">
    <w:p w14:paraId="63B1B608" w14:textId="77777777" w:rsidR="00544385" w:rsidRDefault="005443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FD35D" w14:textId="77777777" w:rsidR="00544385" w:rsidRDefault="00544385" w:rsidP="00C0175F">
      <w:r>
        <w:separator/>
      </w:r>
    </w:p>
  </w:footnote>
  <w:footnote w:type="continuationSeparator" w:id="0">
    <w:p w14:paraId="21DCC965" w14:textId="77777777" w:rsidR="00544385" w:rsidRDefault="00544385" w:rsidP="00C0175F">
      <w:r>
        <w:continuationSeparator/>
      </w:r>
    </w:p>
  </w:footnote>
  <w:footnote w:type="continuationNotice" w:id="1">
    <w:p w14:paraId="263C7511" w14:textId="77777777" w:rsidR="00544385" w:rsidRDefault="005443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632A5"/>
    <w:rsid w:val="00085BF2"/>
    <w:rsid w:val="000B7E0B"/>
    <w:rsid w:val="000C2851"/>
    <w:rsid w:val="000D273A"/>
    <w:rsid w:val="000D6C36"/>
    <w:rsid w:val="000F4D3E"/>
    <w:rsid w:val="000F78F9"/>
    <w:rsid w:val="0010339A"/>
    <w:rsid w:val="00147C6D"/>
    <w:rsid w:val="00155C9B"/>
    <w:rsid w:val="00165FE6"/>
    <w:rsid w:val="001749B1"/>
    <w:rsid w:val="001B2D8F"/>
    <w:rsid w:val="001B47DB"/>
    <w:rsid w:val="001C062A"/>
    <w:rsid w:val="001C4B73"/>
    <w:rsid w:val="001C664F"/>
    <w:rsid w:val="001D6804"/>
    <w:rsid w:val="001E32F9"/>
    <w:rsid w:val="001F0F0E"/>
    <w:rsid w:val="0020370B"/>
    <w:rsid w:val="002414FB"/>
    <w:rsid w:val="00245A01"/>
    <w:rsid w:val="002729EE"/>
    <w:rsid w:val="0029195C"/>
    <w:rsid w:val="002A1459"/>
    <w:rsid w:val="002A4040"/>
    <w:rsid w:val="002B2F32"/>
    <w:rsid w:val="002B5A47"/>
    <w:rsid w:val="002E58A3"/>
    <w:rsid w:val="0030281F"/>
    <w:rsid w:val="00302AA3"/>
    <w:rsid w:val="00304C21"/>
    <w:rsid w:val="00334206"/>
    <w:rsid w:val="00344857"/>
    <w:rsid w:val="00351818"/>
    <w:rsid w:val="003646FD"/>
    <w:rsid w:val="003708FC"/>
    <w:rsid w:val="00382C38"/>
    <w:rsid w:val="00387BB5"/>
    <w:rsid w:val="00396D46"/>
    <w:rsid w:val="00397F17"/>
    <w:rsid w:val="003A7BBA"/>
    <w:rsid w:val="003E4812"/>
    <w:rsid w:val="003E5474"/>
    <w:rsid w:val="004046B9"/>
    <w:rsid w:val="004225DF"/>
    <w:rsid w:val="00463485"/>
    <w:rsid w:val="00490BD2"/>
    <w:rsid w:val="00492E4F"/>
    <w:rsid w:val="004948DB"/>
    <w:rsid w:val="004A2AA0"/>
    <w:rsid w:val="004D1123"/>
    <w:rsid w:val="004D34BA"/>
    <w:rsid w:val="004E6D19"/>
    <w:rsid w:val="00500E9F"/>
    <w:rsid w:val="005076D1"/>
    <w:rsid w:val="00522573"/>
    <w:rsid w:val="00524B55"/>
    <w:rsid w:val="00541B44"/>
    <w:rsid w:val="00544385"/>
    <w:rsid w:val="00551987"/>
    <w:rsid w:val="00575480"/>
    <w:rsid w:val="00580101"/>
    <w:rsid w:val="005973B5"/>
    <w:rsid w:val="005A07C9"/>
    <w:rsid w:val="005A1A67"/>
    <w:rsid w:val="005B2767"/>
    <w:rsid w:val="005B2F5B"/>
    <w:rsid w:val="005C3A2D"/>
    <w:rsid w:val="005C3DF8"/>
    <w:rsid w:val="005C72BE"/>
    <w:rsid w:val="005D0918"/>
    <w:rsid w:val="005F0A68"/>
    <w:rsid w:val="0061053B"/>
    <w:rsid w:val="006154AA"/>
    <w:rsid w:val="006320A8"/>
    <w:rsid w:val="0064285E"/>
    <w:rsid w:val="00645AEF"/>
    <w:rsid w:val="00685357"/>
    <w:rsid w:val="00685A84"/>
    <w:rsid w:val="00687C41"/>
    <w:rsid w:val="006A1D50"/>
    <w:rsid w:val="006B7A4C"/>
    <w:rsid w:val="006C5423"/>
    <w:rsid w:val="006D0EBA"/>
    <w:rsid w:val="00712126"/>
    <w:rsid w:val="00726E08"/>
    <w:rsid w:val="00737F3E"/>
    <w:rsid w:val="00763095"/>
    <w:rsid w:val="0078335C"/>
    <w:rsid w:val="007A1A2E"/>
    <w:rsid w:val="007B2663"/>
    <w:rsid w:val="007C5FB3"/>
    <w:rsid w:val="007E1C8F"/>
    <w:rsid w:val="007E5B66"/>
    <w:rsid w:val="007F3F1C"/>
    <w:rsid w:val="0081437B"/>
    <w:rsid w:val="00856AAC"/>
    <w:rsid w:val="00857350"/>
    <w:rsid w:val="008575DB"/>
    <w:rsid w:val="00870795"/>
    <w:rsid w:val="00887711"/>
    <w:rsid w:val="008A62CD"/>
    <w:rsid w:val="008A6A7A"/>
    <w:rsid w:val="008B14A8"/>
    <w:rsid w:val="008D63D5"/>
    <w:rsid w:val="009042BF"/>
    <w:rsid w:val="00910E33"/>
    <w:rsid w:val="009213B5"/>
    <w:rsid w:val="009241E7"/>
    <w:rsid w:val="00924FCE"/>
    <w:rsid w:val="00947352"/>
    <w:rsid w:val="00954DCC"/>
    <w:rsid w:val="009701B9"/>
    <w:rsid w:val="00981A09"/>
    <w:rsid w:val="009834A5"/>
    <w:rsid w:val="009D7744"/>
    <w:rsid w:val="00A33F1E"/>
    <w:rsid w:val="00A832B5"/>
    <w:rsid w:val="00A97965"/>
    <w:rsid w:val="00AD3BD8"/>
    <w:rsid w:val="00B02318"/>
    <w:rsid w:val="00B04F8D"/>
    <w:rsid w:val="00B1034D"/>
    <w:rsid w:val="00B15D83"/>
    <w:rsid w:val="00B1798B"/>
    <w:rsid w:val="00B258B4"/>
    <w:rsid w:val="00B42B41"/>
    <w:rsid w:val="00B66859"/>
    <w:rsid w:val="00B74F1E"/>
    <w:rsid w:val="00B8312E"/>
    <w:rsid w:val="00B86129"/>
    <w:rsid w:val="00B86E1F"/>
    <w:rsid w:val="00B900D7"/>
    <w:rsid w:val="00B92F4F"/>
    <w:rsid w:val="00BD0366"/>
    <w:rsid w:val="00BD1859"/>
    <w:rsid w:val="00BD2472"/>
    <w:rsid w:val="00BE36D4"/>
    <w:rsid w:val="00BE54DA"/>
    <w:rsid w:val="00C00639"/>
    <w:rsid w:val="00C0175F"/>
    <w:rsid w:val="00C03BA0"/>
    <w:rsid w:val="00C07DAB"/>
    <w:rsid w:val="00C20A04"/>
    <w:rsid w:val="00C416CC"/>
    <w:rsid w:val="00C53825"/>
    <w:rsid w:val="00C60552"/>
    <w:rsid w:val="00C61A46"/>
    <w:rsid w:val="00C94AB3"/>
    <w:rsid w:val="00C94B4E"/>
    <w:rsid w:val="00CA0066"/>
    <w:rsid w:val="00CA611D"/>
    <w:rsid w:val="00CB26E7"/>
    <w:rsid w:val="00CB44CB"/>
    <w:rsid w:val="00CB5356"/>
    <w:rsid w:val="00CF666D"/>
    <w:rsid w:val="00D1441B"/>
    <w:rsid w:val="00D151AE"/>
    <w:rsid w:val="00D52945"/>
    <w:rsid w:val="00D57F17"/>
    <w:rsid w:val="00D738E3"/>
    <w:rsid w:val="00D73F9A"/>
    <w:rsid w:val="00D80086"/>
    <w:rsid w:val="00D84B54"/>
    <w:rsid w:val="00D951A4"/>
    <w:rsid w:val="00DB57D6"/>
    <w:rsid w:val="00DB75D6"/>
    <w:rsid w:val="00DE1B48"/>
    <w:rsid w:val="00DE3409"/>
    <w:rsid w:val="00E008B8"/>
    <w:rsid w:val="00E016AE"/>
    <w:rsid w:val="00E03D45"/>
    <w:rsid w:val="00E10654"/>
    <w:rsid w:val="00E14628"/>
    <w:rsid w:val="00E23DAC"/>
    <w:rsid w:val="00E44E5D"/>
    <w:rsid w:val="00E527AD"/>
    <w:rsid w:val="00E55CFE"/>
    <w:rsid w:val="00E70F9A"/>
    <w:rsid w:val="00E850B0"/>
    <w:rsid w:val="00E8641C"/>
    <w:rsid w:val="00EB1D2A"/>
    <w:rsid w:val="00EB2DE2"/>
    <w:rsid w:val="00EB4C49"/>
    <w:rsid w:val="00EE04DD"/>
    <w:rsid w:val="00EF0E92"/>
    <w:rsid w:val="00F215BC"/>
    <w:rsid w:val="00F24E50"/>
    <w:rsid w:val="00F5663B"/>
    <w:rsid w:val="00F603CF"/>
    <w:rsid w:val="00F65F0B"/>
    <w:rsid w:val="00F668D0"/>
    <w:rsid w:val="00F83F13"/>
    <w:rsid w:val="00FA03F5"/>
    <w:rsid w:val="00FA644B"/>
    <w:rsid w:val="00FC33CB"/>
    <w:rsid w:val="00FF18BF"/>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245A01"/>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245A01"/>
    <w:rPr>
      <w:rFonts w:ascii="Arial" w:eastAsia="Calibri" w:hAnsi="Arial"/>
      <w:b/>
      <w:bCs/>
      <w:lang w:eastAsia="en-US"/>
    </w:rPr>
  </w:style>
  <w:style w:type="paragraph" w:styleId="Revision">
    <w:name w:val="Revision"/>
    <w:hidden/>
    <w:uiPriority w:val="99"/>
    <w:semiHidden/>
    <w:rsid w:val="00B15D8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eso.energy/news/britains-energy-explained-2025-review" TargetMode="External"/><Relationship Id="rId18" Type="http://schemas.openxmlformats.org/officeDocument/2006/relationships/hyperlink" Target="https://www.renewableuk.com/energypulse/blog/stacking-up-the-storage-where-the-uk-battery-market-stands-in-2025/" TargetMode="External"/><Relationship Id="rId26" Type="http://schemas.openxmlformats.org/officeDocument/2006/relationships/hyperlink" Target="http://www.wechangeminds.com" TargetMode="External"/><Relationship Id="rId3" Type="http://schemas.openxmlformats.org/officeDocument/2006/relationships/customXml" Target="../customXml/item3.xml"/><Relationship Id="rId21" Type="http://schemas.openxmlformats.org/officeDocument/2006/relationships/hyperlink" Target="https://www.weg.net/institutional/MR/en/all-news/all" TargetMode="External"/><Relationship Id="rId7" Type="http://schemas.openxmlformats.org/officeDocument/2006/relationships/webSettings" Target="webSettings.xml"/><Relationship Id="rId12" Type="http://schemas.openxmlformats.org/officeDocument/2006/relationships/hyperlink" Target="https://www.theguardian.com/world/2026/apr/28/blackout-spain-renewable-energy-grid-solar-wind" TargetMode="External"/><Relationship Id="rId17" Type="http://schemas.openxmlformats.org/officeDocument/2006/relationships/hyperlink" Target="https://www.weg.net/bess?utm_source=Stone+Junction&amp;utm_medium=Opinion+piece&amp;utm_campaign=WEG1144&amp;utm_id=WEG1144&amp;utm_term=Stability+as+a+service" TargetMode="External"/><Relationship Id="rId25" Type="http://schemas.openxmlformats.org/officeDocument/2006/relationships/hyperlink" Target="mailto:encarna@stonejunction.co.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eg.net/catalog/weg/GB/en/Generation%2CTransmission-and-Distribution/Synchronous-Condensers/Synchronous-Condensers/p/MKT_WEM_SYN_CONDENSERS?utm_source=Stone+Junction&amp;utm_medium=Opinion+piece&amp;utm_campaign=WEG1144&amp;utm_id=WEG1144&amp;utm_term=Stability+as+a+service" TargetMode="External"/><Relationship Id="rId20" Type="http://schemas.openxmlformats.org/officeDocument/2006/relationships/hyperlink" Target="https://www.weg.net/bess?utm_source=Stone+Junction&amp;utm_medium=Opinion+piece&amp;utm_campaign=WEG1144&amp;utm_id=WEG1144&amp;utm_term=Stability+as+a+service" TargetMode="External"/><Relationship Id="rId29" Type="http://schemas.openxmlformats.org/officeDocument/2006/relationships/hyperlink" Target="https://www.linkedin.com/company/stone-junction-lt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GB/en/solutions/energy?utm_source=Stone+Junction&amp;utm_medium=Opinion+piece&amp;utm_campaign=WEG1144&amp;utm_id=WEG1144&amp;utm_term=Stability+as+a+service" TargetMode="External"/><Relationship Id="rId24" Type="http://schemas.openxmlformats.org/officeDocument/2006/relationships/hyperlink" Target="mailto:stephanie@stonejunction.co.uk"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neso.energy/" TargetMode="External"/><Relationship Id="rId23" Type="http://schemas.openxmlformats.org/officeDocument/2006/relationships/hyperlink" Target="mailto:info-ch@weg.net" TargetMode="External"/><Relationship Id="rId28" Type="http://schemas.openxmlformats.org/officeDocument/2006/relationships/hyperlink" Target="http://www.facebook.com/technicalPR" TargetMode="External"/><Relationship Id="rId10" Type="http://schemas.openxmlformats.org/officeDocument/2006/relationships/image" Target="media/image1.jpeg"/><Relationship Id="rId19" Type="http://schemas.openxmlformats.org/officeDocument/2006/relationships/hyperlink" Target="https://www.weg.net/catalog/weg/GB/en/Generation%2CTransmission-and-Distribution/Synchronous-Condensers/Synchronous-Condensers/p/MKT_WEM_SYN_CONDENSERS?utm_source=Stone+Junction&amp;utm_medium=Opinion+piece&amp;utm_campaign=WEG1144&amp;utm_id=WEG1144&amp;utm_term=Stability+as+a+service"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rena.org/Data/View-data-by-topic/Capacity-and-Generation/Regional-Trends" TargetMode="External"/><Relationship Id="rId22" Type="http://schemas.openxmlformats.org/officeDocument/2006/relationships/hyperlink" Target="http://www.weg.net" TargetMode="External"/><Relationship Id="rId27" Type="http://schemas.openxmlformats.org/officeDocument/2006/relationships/hyperlink" Target="http://www.x.com/StoneJunctionPR" TargetMode="External"/><Relationship Id="rId30" Type="http://schemas.openxmlformats.org/officeDocument/2006/relationships/hyperlink" Target="http://www.weg.net"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1948</Words>
  <Characters>11110</Characters>
  <Application>Microsoft Office Word</Application>
  <DocSecurity>0</DocSecurity>
  <Lines>92</Lines>
  <Paragraphs>26</Paragraphs>
  <ScaleCrop>false</ScaleCrop>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Stephanie Carson Wood</cp:lastModifiedBy>
  <cp:revision>48</cp:revision>
  <cp:lastPrinted>2013-11-28T05:43:00Z</cp:lastPrinted>
  <dcterms:created xsi:type="dcterms:W3CDTF">2023-08-15T16:58:00Z</dcterms:created>
  <dcterms:modified xsi:type="dcterms:W3CDTF">2026-04-30T15:28:00Z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