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D2DCB3A" w14:textId="77777777" w:rsidR="00B86E1F" w:rsidRPr="005076D1" w:rsidRDefault="000B7E0B" w:rsidP="005076D1">
      <w:pPr>
        <w:pStyle w:val="BodyCopy"/>
        <w:jc w:val="left"/>
        <w:rPr>
          <w:rFonts w:eastAsia="MS Mincho" w:cs="Arial"/>
        </w:rPr>
      </w:pPr>
      <w:r>
        <w:rPr>
          <w:rFonts w:eastAsia="MS Mincho" w:cs="Arial"/>
          <w:noProof/>
        </w:rPr>
        <w:drawing>
          <wp:inline distT="0" distB="0" distL="0" distR="0" wp14:anchorId="5D2DCB6C" wp14:editId="117E1E41">
            <wp:extent cx="1352550" cy="94297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352550" cy="942975"/>
                    </a:xfrm>
                    <a:prstGeom prst="rect">
                      <a:avLst/>
                    </a:prstGeom>
                    <a:noFill/>
                    <a:ln>
                      <a:noFill/>
                    </a:ln>
                  </pic:spPr>
                </pic:pic>
              </a:graphicData>
            </a:graphic>
          </wp:inline>
        </w:drawing>
      </w:r>
    </w:p>
    <w:p w14:paraId="5D2DCB3B" w14:textId="77777777" w:rsidR="00FA03F5" w:rsidRPr="005076D1" w:rsidRDefault="00FA03F5" w:rsidP="006154AA">
      <w:pPr>
        <w:pStyle w:val="Heading1"/>
        <w:spacing w:line="360" w:lineRule="auto"/>
        <w:rPr>
          <w:rFonts w:ascii="Arial" w:hAnsi="Arial" w:cs="Arial"/>
          <w:sz w:val="24"/>
          <w:szCs w:val="24"/>
        </w:rPr>
      </w:pPr>
    </w:p>
    <w:p w14:paraId="3160924E" w14:textId="77777777" w:rsidR="0039048A" w:rsidRPr="0039048A" w:rsidRDefault="0039048A" w:rsidP="0039048A">
      <w:pPr>
        <w:spacing w:line="480" w:lineRule="auto"/>
        <w:jc w:val="center"/>
        <w:rPr>
          <w:rFonts w:cs="Arial"/>
          <w:b/>
          <w:sz w:val="32"/>
        </w:rPr>
      </w:pPr>
      <w:r w:rsidRPr="0039048A">
        <w:rPr>
          <w:rFonts w:cs="Arial"/>
          <w:b/>
          <w:sz w:val="32"/>
        </w:rPr>
        <w:t>Ensuring grid stability</w:t>
      </w:r>
    </w:p>
    <w:p w14:paraId="60D990F4" w14:textId="77777777" w:rsidR="0039048A" w:rsidRPr="0039048A" w:rsidRDefault="0039048A" w:rsidP="0039048A">
      <w:pPr>
        <w:spacing w:line="480" w:lineRule="auto"/>
        <w:jc w:val="center"/>
        <w:rPr>
          <w:rFonts w:cs="Arial"/>
          <w:b/>
        </w:rPr>
      </w:pPr>
      <w:r w:rsidRPr="0039048A">
        <w:rPr>
          <w:rFonts w:cs="Arial"/>
          <w:b/>
        </w:rPr>
        <w:t>~ WEG’s rotating synchronous condensers support power system reliability ~</w:t>
      </w:r>
    </w:p>
    <w:p w14:paraId="5161452D" w14:textId="77777777" w:rsidR="0039048A" w:rsidRDefault="0039048A" w:rsidP="0039048A">
      <w:pPr>
        <w:spacing w:line="480" w:lineRule="auto"/>
        <w:jc w:val="both"/>
        <w:rPr>
          <w:rFonts w:cs="Arial"/>
          <w:b/>
          <w:szCs w:val="20"/>
        </w:rPr>
      </w:pPr>
    </w:p>
    <w:p w14:paraId="19045381" w14:textId="3A923EDF" w:rsidR="0039048A" w:rsidRDefault="0039048A" w:rsidP="0039048A">
      <w:pPr>
        <w:spacing w:line="480" w:lineRule="auto"/>
        <w:jc w:val="both"/>
        <w:rPr>
          <w:rFonts w:cs="Arial"/>
          <w:b/>
          <w:bCs/>
          <w:lang w:val="en-US"/>
        </w:rPr>
      </w:pPr>
      <w:r>
        <w:rPr>
          <w:rFonts w:cs="Arial"/>
          <w:b/>
          <w:szCs w:val="20"/>
        </w:rPr>
        <w:t>T</w:t>
      </w:r>
      <w:r w:rsidRPr="0039048A">
        <w:rPr>
          <w:rFonts w:cs="Arial"/>
          <w:b/>
          <w:bCs/>
          <w:lang w:val="en-US"/>
        </w:rPr>
        <w:t xml:space="preserve">he growth of wind and solar power has accelerated. However, renewables pose challenges with voltage fluctuations that can cause equipment wear, inefficiencies and potential blackouts. To maintain power stability, energy providers must adopt advanced technologies. Here, </w:t>
      </w:r>
      <w:r w:rsidR="00175EA9">
        <w:rPr>
          <w:rFonts w:cs="Arial"/>
          <w:b/>
          <w:bCs/>
          <w:lang w:val="en-US"/>
        </w:rPr>
        <w:t>Mark Newman</w:t>
      </w:r>
      <w:r w:rsidRPr="0039048A">
        <w:rPr>
          <w:rFonts w:cs="Arial"/>
          <w:b/>
          <w:bCs/>
          <w:lang w:val="en-US"/>
        </w:rPr>
        <w:t xml:space="preserve">, </w:t>
      </w:r>
      <w:r w:rsidR="00254DE6">
        <w:rPr>
          <w:rFonts w:cs="Arial"/>
          <w:b/>
          <w:bCs/>
          <w:lang w:val="en-US"/>
        </w:rPr>
        <w:t xml:space="preserve">business development </w:t>
      </w:r>
      <w:r w:rsidR="007E534A">
        <w:rPr>
          <w:rFonts w:cs="Arial"/>
          <w:b/>
          <w:bCs/>
          <w:lang w:val="en-US"/>
        </w:rPr>
        <w:t xml:space="preserve">manager – end user at </w:t>
      </w:r>
      <w:r w:rsidR="00EA21F0">
        <w:rPr>
          <w:rFonts w:cs="Arial"/>
          <w:b/>
          <w:bCs/>
          <w:lang w:val="en-US"/>
        </w:rPr>
        <w:t xml:space="preserve">WEG </w:t>
      </w:r>
      <w:r w:rsidR="001717D6">
        <w:rPr>
          <w:rFonts w:cs="Arial"/>
          <w:b/>
          <w:bCs/>
          <w:lang w:val="en-US"/>
        </w:rPr>
        <w:t>high voltage solutions</w:t>
      </w:r>
      <w:r w:rsidR="00EE155A" w:rsidRPr="00EE155A">
        <w:rPr>
          <w:rFonts w:cs="Arial"/>
          <w:b/>
          <w:bCs/>
          <w:lang w:val="en-US"/>
        </w:rPr>
        <w:t xml:space="preserve"> </w:t>
      </w:r>
      <w:r w:rsidR="00EE155A">
        <w:rPr>
          <w:rFonts w:cs="Arial"/>
          <w:b/>
          <w:bCs/>
          <w:lang w:val="en-US"/>
        </w:rPr>
        <w:t>EU and Middle East</w:t>
      </w:r>
      <w:r w:rsidRPr="0039048A">
        <w:rPr>
          <w:rFonts w:cs="Arial"/>
          <w:b/>
          <w:bCs/>
          <w:lang w:val="en-US"/>
        </w:rPr>
        <w:t xml:space="preserve">, explains how WEG’s </w:t>
      </w:r>
      <w:hyperlink r:id="rId11" w:history="1">
        <w:r w:rsidRPr="0039048A">
          <w:rPr>
            <w:rStyle w:val="Hyperlink"/>
            <w:rFonts w:cs="Arial"/>
            <w:b/>
            <w:bCs/>
            <w:lang w:val="en-US"/>
          </w:rPr>
          <w:t>rotating synchronous condensers</w:t>
        </w:r>
      </w:hyperlink>
      <w:r w:rsidRPr="0039048A">
        <w:rPr>
          <w:rFonts w:cs="Arial"/>
          <w:b/>
          <w:bCs/>
          <w:lang w:val="en-US"/>
        </w:rPr>
        <w:t xml:space="preserve"> contribute to </w:t>
      </w:r>
      <w:proofErr w:type="spellStart"/>
      <w:r w:rsidRPr="0039048A">
        <w:rPr>
          <w:rFonts w:cs="Arial"/>
          <w:b/>
          <w:bCs/>
          <w:lang w:val="en-US"/>
        </w:rPr>
        <w:t>stabilising</w:t>
      </w:r>
      <w:proofErr w:type="spellEnd"/>
      <w:r w:rsidRPr="0039048A">
        <w:rPr>
          <w:rFonts w:cs="Arial"/>
          <w:b/>
          <w:bCs/>
          <w:lang w:val="en-US"/>
        </w:rPr>
        <w:t xml:space="preserve"> renewable energy sources and </w:t>
      </w:r>
      <w:proofErr w:type="spellStart"/>
      <w:r w:rsidRPr="0039048A">
        <w:rPr>
          <w:rFonts w:cs="Arial"/>
          <w:b/>
          <w:bCs/>
          <w:lang w:val="en-US"/>
        </w:rPr>
        <w:t>optimising</w:t>
      </w:r>
      <w:proofErr w:type="spellEnd"/>
      <w:r w:rsidRPr="0039048A">
        <w:rPr>
          <w:rFonts w:cs="Arial"/>
          <w:b/>
          <w:bCs/>
          <w:lang w:val="en-US"/>
        </w:rPr>
        <w:t xml:space="preserve"> power flow in the grid.</w:t>
      </w:r>
    </w:p>
    <w:p w14:paraId="0A9C61E8" w14:textId="77777777" w:rsidR="0039048A" w:rsidRPr="0039048A" w:rsidRDefault="0039048A" w:rsidP="0039048A">
      <w:pPr>
        <w:spacing w:line="480" w:lineRule="auto"/>
        <w:jc w:val="both"/>
        <w:rPr>
          <w:rFonts w:cs="Arial"/>
          <w:b/>
          <w:bCs/>
          <w:lang w:val="en-US"/>
        </w:rPr>
      </w:pPr>
    </w:p>
    <w:p w14:paraId="56042E10" w14:textId="2C94BF5C" w:rsidR="0039048A" w:rsidRDefault="0039048A" w:rsidP="0039048A">
      <w:pPr>
        <w:spacing w:line="480" w:lineRule="auto"/>
        <w:jc w:val="both"/>
        <w:rPr>
          <w:rFonts w:cs="Arial"/>
          <w:lang w:val="en-US"/>
        </w:rPr>
      </w:pPr>
      <w:r w:rsidRPr="0039048A">
        <w:rPr>
          <w:rFonts w:cs="Arial"/>
          <w:lang w:val="en-US"/>
        </w:rPr>
        <w:t xml:space="preserve">According to Deloitte’s </w:t>
      </w:r>
      <w:hyperlink r:id="rId12" w:history="1">
        <w:r w:rsidRPr="0039048A">
          <w:rPr>
            <w:rStyle w:val="Hyperlink"/>
            <w:rFonts w:cs="Arial"/>
            <w:i/>
            <w:iCs/>
            <w:lang w:val="en-US"/>
          </w:rPr>
          <w:t>2025 Renewable Energy Industry Outlook</w:t>
        </w:r>
      </w:hyperlink>
      <w:r w:rsidRPr="0039048A">
        <w:rPr>
          <w:rFonts w:cs="Arial"/>
          <w:lang w:val="en-US"/>
        </w:rPr>
        <w:t>, demand for clean energy is now outpacing supply. This trend places additional strain on power systems as more variable sources like wind and solar are integrated into the grid, presenting several management challenges.</w:t>
      </w:r>
    </w:p>
    <w:p w14:paraId="2D801346" w14:textId="77777777" w:rsidR="0039048A" w:rsidRPr="0039048A" w:rsidRDefault="0039048A" w:rsidP="0039048A">
      <w:pPr>
        <w:spacing w:line="480" w:lineRule="auto"/>
        <w:jc w:val="both"/>
        <w:rPr>
          <w:rFonts w:cs="Arial"/>
          <w:lang w:val="en-US"/>
        </w:rPr>
      </w:pPr>
    </w:p>
    <w:p w14:paraId="79681079" w14:textId="48D94B05" w:rsidR="0039048A" w:rsidRDefault="0039048A" w:rsidP="0039048A">
      <w:pPr>
        <w:spacing w:line="480" w:lineRule="auto"/>
        <w:jc w:val="both"/>
        <w:rPr>
          <w:rFonts w:cs="Arial"/>
          <w:lang w:val="en-US"/>
        </w:rPr>
      </w:pPr>
      <w:r w:rsidRPr="0039048A">
        <w:rPr>
          <w:rFonts w:cs="Arial"/>
          <w:lang w:val="en-US"/>
        </w:rPr>
        <w:t xml:space="preserve">Renewable energy sources are more difficult to manage than conventional sources for several reasons. First, they are less predictable — solar panels, for example, generate power intermittently depending on sunlight. Second, renewable energy is increasingly </w:t>
      </w:r>
      <w:proofErr w:type="spellStart"/>
      <w:r w:rsidRPr="0039048A">
        <w:rPr>
          <w:rFonts w:cs="Arial"/>
          <w:lang w:val="en-US"/>
        </w:rPr>
        <w:lastRenderedPageBreak/>
        <w:t>decentralised</w:t>
      </w:r>
      <w:proofErr w:type="spellEnd"/>
      <w:r w:rsidRPr="0039048A">
        <w:rPr>
          <w:rFonts w:cs="Arial"/>
          <w:lang w:val="en-US"/>
        </w:rPr>
        <w:t xml:space="preserve">, with rooftop solar panels and battery storage spread across wider geographical areas. </w:t>
      </w:r>
      <w:r w:rsidR="004F618B" w:rsidRPr="004F618B">
        <w:rPr>
          <w:rFonts w:cs="Arial"/>
          <w:lang w:val="en-US"/>
        </w:rPr>
        <w:t>Third, high penetrations of distributed renewables in low</w:t>
      </w:r>
      <w:r w:rsidR="004F618B" w:rsidRPr="004F618B">
        <w:rPr>
          <w:rFonts w:ascii="Cambria Math" w:hAnsi="Cambria Math" w:cs="Cambria Math"/>
          <w:lang w:val="en-US"/>
        </w:rPr>
        <w:t>‑</w:t>
      </w:r>
      <w:r w:rsidR="004F618B" w:rsidRPr="004F618B">
        <w:rPr>
          <w:rFonts w:cs="Arial"/>
          <w:lang w:val="en-US"/>
        </w:rPr>
        <w:t xml:space="preserve"> and medium</w:t>
      </w:r>
      <w:r w:rsidR="004F618B" w:rsidRPr="004F618B">
        <w:rPr>
          <w:rFonts w:ascii="Cambria Math" w:hAnsi="Cambria Math" w:cs="Cambria Math"/>
          <w:lang w:val="en-US"/>
        </w:rPr>
        <w:t>‑</w:t>
      </w:r>
      <w:r w:rsidR="004F618B" w:rsidRPr="004F618B">
        <w:rPr>
          <w:rFonts w:cs="Arial"/>
          <w:lang w:val="en-US"/>
        </w:rPr>
        <w:t>voltage networks can lead to increased voltage variability and altered loss profiles, creating new operational challenges for network operators." instead.</w:t>
      </w:r>
    </w:p>
    <w:p w14:paraId="599F61F3" w14:textId="77777777" w:rsidR="0039048A" w:rsidRPr="0039048A" w:rsidRDefault="0039048A" w:rsidP="0039048A">
      <w:pPr>
        <w:spacing w:line="480" w:lineRule="auto"/>
        <w:jc w:val="both"/>
        <w:rPr>
          <w:rFonts w:cs="Arial"/>
          <w:lang w:val="en-US"/>
        </w:rPr>
      </w:pPr>
    </w:p>
    <w:p w14:paraId="284CEB0B" w14:textId="77777777" w:rsidR="0039048A" w:rsidRDefault="0039048A" w:rsidP="0039048A">
      <w:pPr>
        <w:spacing w:line="480" w:lineRule="auto"/>
        <w:jc w:val="both"/>
        <w:rPr>
          <w:rFonts w:cs="Arial"/>
          <w:lang w:val="en-US"/>
        </w:rPr>
      </w:pPr>
      <w:r w:rsidRPr="0039048A">
        <w:rPr>
          <w:rFonts w:cs="Arial"/>
          <w:lang w:val="en-US"/>
        </w:rPr>
        <w:t>A key challenge within these fluctuations is balancing real power with reactive power. Real power, measured in watts (W), performs useful work — powering electrical devices. Reactive power, measured in volt-amperes reactive (</w:t>
      </w:r>
      <w:proofErr w:type="spellStart"/>
      <w:r w:rsidRPr="0039048A">
        <w:rPr>
          <w:rFonts w:cs="Arial"/>
          <w:lang w:val="en-US"/>
        </w:rPr>
        <w:t>VAr</w:t>
      </w:r>
      <w:proofErr w:type="spellEnd"/>
      <w:r w:rsidRPr="0039048A">
        <w:rPr>
          <w:rFonts w:cs="Arial"/>
          <w:lang w:val="en-US"/>
        </w:rPr>
        <w:t>), does not perform useful work but is essential for maintaining voltage stability in alternating current (AC) systems. Ensuring an optimal balance between these two types of power is crucial for grid efficiency.</w:t>
      </w:r>
    </w:p>
    <w:p w14:paraId="36D74AA7" w14:textId="77777777" w:rsidR="0039048A" w:rsidRPr="0039048A" w:rsidRDefault="0039048A" w:rsidP="0039048A">
      <w:pPr>
        <w:spacing w:line="480" w:lineRule="auto"/>
        <w:jc w:val="both"/>
        <w:rPr>
          <w:rFonts w:cs="Arial"/>
          <w:lang w:val="en-US"/>
        </w:rPr>
      </w:pPr>
    </w:p>
    <w:p w14:paraId="29E1CCDB" w14:textId="77777777" w:rsidR="0039048A" w:rsidRDefault="0039048A" w:rsidP="0039048A">
      <w:pPr>
        <w:spacing w:line="480" w:lineRule="auto"/>
        <w:jc w:val="both"/>
        <w:rPr>
          <w:rFonts w:cs="Arial"/>
          <w:lang w:val="en-US"/>
        </w:rPr>
      </w:pPr>
      <w:r w:rsidRPr="0039048A">
        <w:rPr>
          <w:rFonts w:cs="Arial"/>
          <w:lang w:val="en-US"/>
        </w:rPr>
        <w:t xml:space="preserve">Traditional reactive power compensation devices, such as capacitor banks, static </w:t>
      </w:r>
      <w:proofErr w:type="spellStart"/>
      <w:r w:rsidRPr="0039048A">
        <w:rPr>
          <w:rFonts w:cs="Arial"/>
          <w:lang w:val="en-US"/>
        </w:rPr>
        <w:t>VAr</w:t>
      </w:r>
      <w:proofErr w:type="spellEnd"/>
      <w:r w:rsidRPr="0039048A">
        <w:rPr>
          <w:rFonts w:cs="Arial"/>
          <w:lang w:val="en-US"/>
        </w:rPr>
        <w:t xml:space="preserve"> compensators and transformer tap changers, have been used for this purpose. However, these devices often lack real-time </w:t>
      </w:r>
      <w:proofErr w:type="gramStart"/>
      <w:r w:rsidRPr="0039048A">
        <w:rPr>
          <w:rFonts w:cs="Arial"/>
          <w:lang w:val="en-US"/>
        </w:rPr>
        <w:t>responsiveness</w:t>
      </w:r>
      <w:proofErr w:type="gramEnd"/>
      <w:r w:rsidRPr="0039048A">
        <w:rPr>
          <w:rFonts w:cs="Arial"/>
          <w:lang w:val="en-US"/>
        </w:rPr>
        <w:t xml:space="preserve"> and frequent switching can cause equipment wear, reducing reliability.</w:t>
      </w:r>
    </w:p>
    <w:p w14:paraId="4DB6C7EF" w14:textId="77777777" w:rsidR="0039048A" w:rsidRPr="0039048A" w:rsidRDefault="0039048A" w:rsidP="0039048A">
      <w:pPr>
        <w:spacing w:line="480" w:lineRule="auto"/>
        <w:jc w:val="both"/>
        <w:rPr>
          <w:rFonts w:cs="Arial"/>
          <w:lang w:val="en-US"/>
        </w:rPr>
      </w:pPr>
    </w:p>
    <w:p w14:paraId="567CA874" w14:textId="77777777" w:rsidR="0039048A" w:rsidRPr="0039048A" w:rsidRDefault="0039048A" w:rsidP="0039048A">
      <w:pPr>
        <w:spacing w:line="480" w:lineRule="auto"/>
        <w:jc w:val="both"/>
        <w:rPr>
          <w:rFonts w:cs="Arial"/>
          <w:b/>
          <w:bCs/>
          <w:lang w:val="en-US"/>
        </w:rPr>
      </w:pPr>
      <w:r w:rsidRPr="0039048A">
        <w:rPr>
          <w:rFonts w:cs="Arial"/>
          <w:b/>
          <w:bCs/>
          <w:lang w:val="en-US"/>
        </w:rPr>
        <w:t>Innovations in voltage regulation</w:t>
      </w:r>
    </w:p>
    <w:p w14:paraId="07573B24" w14:textId="77777777" w:rsidR="0039048A" w:rsidRDefault="0039048A" w:rsidP="0039048A">
      <w:pPr>
        <w:spacing w:line="480" w:lineRule="auto"/>
        <w:jc w:val="both"/>
        <w:rPr>
          <w:rFonts w:cs="Arial"/>
        </w:rPr>
      </w:pPr>
      <w:r w:rsidRPr="0039048A">
        <w:rPr>
          <w:rFonts w:cs="Arial"/>
          <w:lang w:val="en-US"/>
        </w:rPr>
        <w:t>As the grid evolves, energy suppliers must adopt more adaptable and efficient technologies to manage real and reactive power. These solutions must also comply with grid codes, technical standards set by national or regional energy regulators to ensure the stable, safe and efficient operation</w:t>
      </w:r>
      <w:r w:rsidRPr="0039048A">
        <w:rPr>
          <w:rFonts w:cs="Arial"/>
        </w:rPr>
        <w:t xml:space="preserve"> of electricity grids — especially as new energy sources are added.</w:t>
      </w:r>
    </w:p>
    <w:p w14:paraId="22A2D643" w14:textId="77777777" w:rsidR="0039048A" w:rsidRPr="0039048A" w:rsidRDefault="0039048A" w:rsidP="0039048A">
      <w:pPr>
        <w:spacing w:line="480" w:lineRule="auto"/>
        <w:jc w:val="both"/>
        <w:rPr>
          <w:rFonts w:cs="Arial"/>
          <w:lang w:val="en-US"/>
        </w:rPr>
      </w:pPr>
    </w:p>
    <w:p w14:paraId="3884951E" w14:textId="55212839" w:rsidR="0039048A" w:rsidRDefault="0039048A" w:rsidP="0039048A">
      <w:pPr>
        <w:spacing w:line="480" w:lineRule="auto"/>
        <w:jc w:val="both"/>
        <w:rPr>
          <w:rFonts w:cs="Arial"/>
          <w:lang w:val="en-US"/>
        </w:rPr>
      </w:pPr>
      <w:r w:rsidRPr="0039048A">
        <w:rPr>
          <w:rFonts w:cs="Arial"/>
          <w:lang w:val="en-US"/>
        </w:rPr>
        <w:t xml:space="preserve">Among the most effective solutions are rotating synchronous condensers, which generate or absorb reactive power as needed </w:t>
      </w:r>
      <w:proofErr w:type="gramStart"/>
      <w:r w:rsidRPr="0039048A">
        <w:rPr>
          <w:rFonts w:cs="Arial"/>
          <w:lang w:val="en-US"/>
        </w:rPr>
        <w:t>in order to</w:t>
      </w:r>
      <w:proofErr w:type="gramEnd"/>
      <w:r w:rsidRPr="0039048A">
        <w:rPr>
          <w:rFonts w:cs="Arial"/>
          <w:lang w:val="en-US"/>
        </w:rPr>
        <w:t xml:space="preserve"> </w:t>
      </w:r>
      <w:proofErr w:type="spellStart"/>
      <w:r w:rsidRPr="0039048A">
        <w:rPr>
          <w:rFonts w:cs="Arial"/>
          <w:lang w:val="en-US"/>
        </w:rPr>
        <w:t>stabilise</w:t>
      </w:r>
      <w:proofErr w:type="spellEnd"/>
      <w:r w:rsidRPr="0039048A">
        <w:rPr>
          <w:rFonts w:cs="Arial"/>
          <w:lang w:val="en-US"/>
        </w:rPr>
        <w:t xml:space="preserve"> voltage levels. Unlike traditional devices, synchronous condensers provide continuous, real-time voltage regulation without the need for frequent switching. They enhance grid stability by responding instantly to voltage fluctuations and help ensure adherence to stringent grid codes.</w:t>
      </w:r>
    </w:p>
    <w:p w14:paraId="4B0FC8D9" w14:textId="77777777" w:rsidR="0039048A" w:rsidRPr="0039048A" w:rsidRDefault="0039048A" w:rsidP="0039048A">
      <w:pPr>
        <w:spacing w:line="480" w:lineRule="auto"/>
        <w:jc w:val="both"/>
        <w:rPr>
          <w:rFonts w:cs="Arial"/>
          <w:lang w:val="en-US"/>
        </w:rPr>
      </w:pPr>
    </w:p>
    <w:p w14:paraId="51596CD9" w14:textId="77777777" w:rsidR="0039048A" w:rsidRDefault="0039048A" w:rsidP="0039048A">
      <w:pPr>
        <w:spacing w:line="480" w:lineRule="auto"/>
        <w:jc w:val="both"/>
        <w:rPr>
          <w:rFonts w:cs="Arial"/>
          <w:color w:val="000000" w:themeColor="text1"/>
          <w:lang w:val="en-US"/>
        </w:rPr>
      </w:pPr>
      <w:r w:rsidRPr="0039048A">
        <w:rPr>
          <w:rFonts w:cs="Arial"/>
          <w:color w:val="000000" w:themeColor="text1"/>
          <w:lang w:val="en-US"/>
        </w:rPr>
        <w:t>Furthermore, synchronous condensers do not introduce harmonics or resonance into the system, making them a preferable alternative to conventional reactive power compensation methods.</w:t>
      </w:r>
    </w:p>
    <w:p w14:paraId="02BEDBE3" w14:textId="77777777" w:rsidR="0039048A" w:rsidRPr="0039048A" w:rsidRDefault="0039048A" w:rsidP="0039048A">
      <w:pPr>
        <w:spacing w:line="480" w:lineRule="auto"/>
        <w:jc w:val="both"/>
        <w:rPr>
          <w:rFonts w:cs="Arial"/>
          <w:color w:val="000000" w:themeColor="text1"/>
          <w:lang w:val="en-US"/>
        </w:rPr>
      </w:pPr>
    </w:p>
    <w:p w14:paraId="6EB1AF93" w14:textId="77777777" w:rsidR="0039048A" w:rsidRPr="0039048A" w:rsidRDefault="0039048A" w:rsidP="0039048A">
      <w:pPr>
        <w:spacing w:line="480" w:lineRule="auto"/>
        <w:jc w:val="both"/>
        <w:rPr>
          <w:rFonts w:cs="Arial"/>
          <w:b/>
          <w:bCs/>
          <w:color w:val="000000" w:themeColor="text1"/>
          <w:lang w:val="en-US"/>
        </w:rPr>
      </w:pPr>
      <w:r w:rsidRPr="0039048A">
        <w:rPr>
          <w:rFonts w:cs="Arial"/>
          <w:b/>
          <w:bCs/>
          <w:color w:val="000000" w:themeColor="text1"/>
          <w:lang w:val="en-US"/>
        </w:rPr>
        <w:t>Real-world applications</w:t>
      </w:r>
    </w:p>
    <w:p w14:paraId="31A98613" w14:textId="77777777" w:rsidR="0039048A" w:rsidRPr="003B3F21" w:rsidRDefault="0039048A" w:rsidP="0039048A">
      <w:pPr>
        <w:spacing w:line="480" w:lineRule="auto"/>
        <w:jc w:val="both"/>
        <w:rPr>
          <w:rFonts w:cs="Arial"/>
          <w:color w:val="000000" w:themeColor="text1"/>
          <w:lang w:val="en-US"/>
        </w:rPr>
      </w:pPr>
      <w:r w:rsidRPr="0039048A">
        <w:rPr>
          <w:rFonts w:cs="Arial"/>
          <w:color w:val="000000" w:themeColor="text1"/>
          <w:lang w:val="en-US"/>
        </w:rPr>
        <w:t xml:space="preserve">Let’s look at some examples of how rotating synchronous condenser systems have proven effective in practical settings. In Brazil, energy provider </w:t>
      </w:r>
      <w:proofErr w:type="spellStart"/>
      <w:r w:rsidRPr="0039048A">
        <w:rPr>
          <w:rFonts w:cs="Arial"/>
          <w:color w:val="000000" w:themeColor="text1"/>
          <w:lang w:val="en-US"/>
        </w:rPr>
        <w:t>Eletrosul</w:t>
      </w:r>
      <w:proofErr w:type="spellEnd"/>
      <w:r w:rsidRPr="0039048A">
        <w:rPr>
          <w:rFonts w:cs="Arial"/>
          <w:color w:val="000000" w:themeColor="text1"/>
          <w:lang w:val="en-US"/>
        </w:rPr>
        <w:t xml:space="preserve"> has implemented WEG’s </w:t>
      </w:r>
      <w:r w:rsidRPr="003B3F21">
        <w:rPr>
          <w:rFonts w:cs="Arial"/>
          <w:color w:val="000000" w:themeColor="text1"/>
          <w:lang w:val="en-US"/>
        </w:rPr>
        <w:t>synchronous condensers to strengthen its transmission network.</w:t>
      </w:r>
    </w:p>
    <w:p w14:paraId="5F101AE5" w14:textId="77777777" w:rsidR="0039048A" w:rsidRPr="003B3F21" w:rsidRDefault="0039048A" w:rsidP="0039048A">
      <w:pPr>
        <w:spacing w:line="480" w:lineRule="auto"/>
        <w:jc w:val="both"/>
        <w:rPr>
          <w:rFonts w:cs="Arial"/>
          <w:color w:val="000000" w:themeColor="text1"/>
          <w:lang w:val="en-US"/>
        </w:rPr>
      </w:pPr>
    </w:p>
    <w:p w14:paraId="4F89617D" w14:textId="77777777" w:rsidR="0039048A" w:rsidRPr="003B3F21" w:rsidRDefault="0039048A" w:rsidP="0039048A">
      <w:pPr>
        <w:spacing w:line="480" w:lineRule="auto"/>
        <w:jc w:val="both"/>
        <w:rPr>
          <w:rFonts w:cs="Arial"/>
          <w:color w:val="000000" w:themeColor="text1"/>
          <w:lang w:val="en-US"/>
        </w:rPr>
      </w:pPr>
      <w:r w:rsidRPr="003B3F21">
        <w:rPr>
          <w:rFonts w:cs="Arial"/>
          <w:color w:val="000000" w:themeColor="text1"/>
          <w:lang w:val="en-US"/>
        </w:rPr>
        <w:t>WEG’s Rotating Synchronous Condenser is engineered for performance and reliability. By either generating or absorbing reactive power, it keeps voltage within safe operating limits, ensuring efficient transmission of electricity, particularly in areas with high renewable energy penetration.</w:t>
      </w:r>
    </w:p>
    <w:p w14:paraId="2C685070" w14:textId="77777777" w:rsidR="00635582" w:rsidRDefault="00635582" w:rsidP="0039048A">
      <w:pPr>
        <w:spacing w:line="480" w:lineRule="auto"/>
        <w:jc w:val="both"/>
        <w:rPr>
          <w:rFonts w:cs="Arial"/>
          <w:color w:val="000000" w:themeColor="text1"/>
          <w:lang w:val="en-US"/>
        </w:rPr>
      </w:pPr>
    </w:p>
    <w:p w14:paraId="646DE966" w14:textId="2FA01C3E" w:rsidR="0039048A" w:rsidRPr="00635582" w:rsidRDefault="00635582" w:rsidP="0039048A">
      <w:pPr>
        <w:spacing w:line="480" w:lineRule="auto"/>
        <w:jc w:val="both"/>
        <w:rPr>
          <w:rFonts w:cs="Arial"/>
          <w:color w:val="000000" w:themeColor="text1"/>
        </w:rPr>
      </w:pPr>
      <w:r w:rsidRPr="00635582">
        <w:rPr>
          <w:rFonts w:cs="Arial"/>
          <w:color w:val="000000" w:themeColor="text1"/>
        </w:rPr>
        <w:lastRenderedPageBreak/>
        <w:t>The system can adjust power flow to stabilise voltage, handling up to ±330 megavolt-ampere reactive (MVAr), based on regional voltage and frequency standards.</w:t>
      </w:r>
      <w:r>
        <w:rPr>
          <w:rFonts w:cs="Arial"/>
          <w:color w:val="000000" w:themeColor="text1"/>
        </w:rPr>
        <w:t xml:space="preserve"> </w:t>
      </w:r>
      <w:r w:rsidR="0091222A" w:rsidRPr="003B3F21">
        <w:rPr>
          <w:rFonts w:cs="Arial"/>
          <w:color w:val="000000" w:themeColor="text1"/>
          <w:lang w:val="en-US"/>
        </w:rPr>
        <w:t>T</w:t>
      </w:r>
      <w:proofErr w:type="spellStart"/>
      <w:r w:rsidR="0039048A" w:rsidRPr="003B3F21">
        <w:rPr>
          <w:rFonts w:cs="Arial"/>
          <w:color w:val="000000" w:themeColor="text1"/>
        </w:rPr>
        <w:t>hese</w:t>
      </w:r>
      <w:proofErr w:type="spellEnd"/>
      <w:r w:rsidR="0039048A" w:rsidRPr="003B3F21">
        <w:rPr>
          <w:rFonts w:cs="Arial"/>
          <w:color w:val="000000" w:themeColor="text1"/>
        </w:rPr>
        <w:t xml:space="preserve"> values mean the system can </w:t>
      </w:r>
      <w:r w:rsidR="0039048A" w:rsidRPr="003B3F21">
        <w:rPr>
          <w:rFonts w:cs="Arial"/>
          <w:color w:val="000000" w:themeColor="text1"/>
          <w:lang w:val="en-US"/>
        </w:rPr>
        <w:t xml:space="preserve">ensure precise voltage control. </w:t>
      </w:r>
    </w:p>
    <w:p w14:paraId="3A13D0F6" w14:textId="77777777" w:rsidR="0039048A" w:rsidRPr="003B3F21" w:rsidRDefault="0039048A" w:rsidP="0039048A">
      <w:pPr>
        <w:spacing w:line="480" w:lineRule="auto"/>
        <w:jc w:val="both"/>
        <w:rPr>
          <w:rFonts w:cs="Arial"/>
          <w:color w:val="000000" w:themeColor="text1"/>
          <w:lang w:val="en-US"/>
        </w:rPr>
      </w:pPr>
    </w:p>
    <w:p w14:paraId="679FEAF5" w14:textId="6FF2D8C9" w:rsidR="0039048A" w:rsidRPr="003B3F21" w:rsidRDefault="0039048A" w:rsidP="0039048A">
      <w:pPr>
        <w:spacing w:line="480" w:lineRule="auto"/>
        <w:jc w:val="both"/>
        <w:rPr>
          <w:rFonts w:cs="Arial"/>
          <w:color w:val="000000" w:themeColor="text1"/>
          <w:lang w:val="en-US"/>
        </w:rPr>
      </w:pPr>
      <w:r w:rsidRPr="003B3F21">
        <w:rPr>
          <w:rFonts w:cs="Arial"/>
          <w:color w:val="000000" w:themeColor="text1"/>
          <w:lang w:val="en-US"/>
        </w:rPr>
        <w:t xml:space="preserve">For </w:t>
      </w:r>
      <w:proofErr w:type="spellStart"/>
      <w:r w:rsidRPr="003B3F21">
        <w:rPr>
          <w:rFonts w:cs="Arial"/>
          <w:color w:val="000000" w:themeColor="text1"/>
          <w:lang w:val="en-US"/>
        </w:rPr>
        <w:t>Eletrosul</w:t>
      </w:r>
      <w:proofErr w:type="spellEnd"/>
      <w:r w:rsidRPr="003B3F21">
        <w:rPr>
          <w:rFonts w:cs="Arial"/>
          <w:color w:val="000000" w:themeColor="text1"/>
          <w:lang w:val="en-US"/>
        </w:rPr>
        <w:t>,</w:t>
      </w:r>
      <w:r w:rsidR="0054666D" w:rsidRPr="003B3F21">
        <w:rPr>
          <w:rFonts w:cs="Arial"/>
          <w:color w:val="000000" w:themeColor="text1"/>
          <w:lang w:val="en-US"/>
        </w:rPr>
        <w:t xml:space="preserve"> two synchronous condensers were supplied, each capable of generating or absorbing ±100 MVAr at 15,000 </w:t>
      </w:r>
      <w:r w:rsidR="00D955C6" w:rsidRPr="003B3F21">
        <w:rPr>
          <w:rFonts w:cs="Arial"/>
          <w:color w:val="000000" w:themeColor="text1"/>
          <w:lang w:val="en-US"/>
        </w:rPr>
        <w:t>volts (</w:t>
      </w:r>
      <w:r w:rsidR="0054666D" w:rsidRPr="003B3F21">
        <w:rPr>
          <w:rFonts w:cs="Arial"/>
          <w:color w:val="000000" w:themeColor="text1"/>
          <w:lang w:val="en-US"/>
        </w:rPr>
        <w:t>V</w:t>
      </w:r>
      <w:r w:rsidR="00D955C6" w:rsidRPr="003B3F21">
        <w:rPr>
          <w:rFonts w:cs="Arial"/>
          <w:color w:val="000000" w:themeColor="text1"/>
          <w:lang w:val="en-US"/>
        </w:rPr>
        <w:t>)</w:t>
      </w:r>
      <w:r w:rsidR="0054666D" w:rsidRPr="003B3F21">
        <w:rPr>
          <w:rFonts w:cs="Arial"/>
          <w:color w:val="000000" w:themeColor="text1"/>
          <w:lang w:val="en-US"/>
        </w:rPr>
        <w:t xml:space="preserve">. These units dynamically adjust reactive power to </w:t>
      </w:r>
      <w:proofErr w:type="spellStart"/>
      <w:r w:rsidR="0054666D" w:rsidRPr="003B3F21">
        <w:rPr>
          <w:rFonts w:cs="Arial"/>
          <w:color w:val="000000" w:themeColor="text1"/>
          <w:lang w:val="en-US"/>
        </w:rPr>
        <w:t>stabilise</w:t>
      </w:r>
      <w:proofErr w:type="spellEnd"/>
      <w:r w:rsidR="0054666D" w:rsidRPr="003B3F21">
        <w:rPr>
          <w:rFonts w:cs="Arial"/>
          <w:color w:val="000000" w:themeColor="text1"/>
          <w:lang w:val="en-US"/>
        </w:rPr>
        <w:t xml:space="preserve"> voltage fluctuations, ensuring a steady flow of electricity across long-distance transmission lines. </w:t>
      </w:r>
      <w:r w:rsidRPr="003B3F21">
        <w:rPr>
          <w:rFonts w:cs="Arial"/>
          <w:color w:val="000000" w:themeColor="text1"/>
          <w:lang w:val="en-US"/>
        </w:rPr>
        <w:t xml:space="preserve">The placement of these condensers helps balance energy distribution, reducing the risk of disruptions in urban and industrial </w:t>
      </w:r>
      <w:proofErr w:type="spellStart"/>
      <w:r w:rsidRPr="003B3F21">
        <w:rPr>
          <w:rFonts w:cs="Arial"/>
          <w:color w:val="000000" w:themeColor="text1"/>
          <w:lang w:val="en-US"/>
        </w:rPr>
        <w:t>centres</w:t>
      </w:r>
      <w:proofErr w:type="spellEnd"/>
      <w:r w:rsidR="0054666D" w:rsidRPr="003B3F21">
        <w:rPr>
          <w:rFonts w:cs="Arial"/>
          <w:color w:val="000000" w:themeColor="text1"/>
          <w:lang w:val="en-US"/>
        </w:rPr>
        <w:t xml:space="preserve"> and significantly </w:t>
      </w:r>
      <w:proofErr w:type="gramStart"/>
      <w:r w:rsidR="0054666D" w:rsidRPr="003B3F21">
        <w:rPr>
          <w:rFonts w:cs="Arial"/>
          <w:color w:val="000000" w:themeColor="text1"/>
          <w:lang w:val="en-US"/>
        </w:rPr>
        <w:t>enhancing</w:t>
      </w:r>
      <w:proofErr w:type="gramEnd"/>
      <w:r w:rsidR="0054666D" w:rsidRPr="003B3F21">
        <w:rPr>
          <w:rFonts w:cs="Arial"/>
          <w:color w:val="000000" w:themeColor="text1"/>
          <w:lang w:val="en-US"/>
        </w:rPr>
        <w:t xml:space="preserve"> the reliability of the country’s power grid.</w:t>
      </w:r>
    </w:p>
    <w:p w14:paraId="47416FDE" w14:textId="77777777" w:rsidR="0039048A" w:rsidRPr="003B3F21" w:rsidRDefault="0039048A" w:rsidP="0039048A">
      <w:pPr>
        <w:spacing w:line="480" w:lineRule="auto"/>
        <w:jc w:val="both"/>
        <w:rPr>
          <w:rFonts w:cs="Arial"/>
          <w:color w:val="000000" w:themeColor="text1"/>
          <w:lang w:val="en-US"/>
        </w:rPr>
      </w:pPr>
    </w:p>
    <w:p w14:paraId="7D05B156" w14:textId="64B0CDDE" w:rsidR="0039048A" w:rsidRDefault="0039048A" w:rsidP="0039048A">
      <w:pPr>
        <w:spacing w:line="480" w:lineRule="auto"/>
        <w:jc w:val="both"/>
        <w:rPr>
          <w:rFonts w:cs="Arial"/>
          <w:color w:val="000000" w:themeColor="text1"/>
          <w:lang w:val="en-US"/>
        </w:rPr>
      </w:pPr>
      <w:r w:rsidRPr="003B3F21">
        <w:rPr>
          <w:rFonts w:cs="Arial"/>
          <w:color w:val="000000" w:themeColor="text1"/>
          <w:lang w:val="en-US"/>
        </w:rPr>
        <w:t>Meanwhile, in the United States, Southern Power has</w:t>
      </w:r>
      <w:r w:rsidRPr="0039048A">
        <w:rPr>
          <w:rFonts w:cs="Arial"/>
          <w:color w:val="000000" w:themeColor="text1"/>
          <w:lang w:val="en-US"/>
        </w:rPr>
        <w:t xml:space="preserve"> incorporated WEG’s synchronous condensers into its wind energy operations. These units, with a capacity of -25/+25 MVAr at 13,800 V, help regulate voltage levels in areas where wind power production can vary frequently. The ability of these condensers to respond instantly to fluctuations in generation prevents voltage drops, improving overall grid stability and reducing the likelihood of disruptions.</w:t>
      </w:r>
      <w:r w:rsidR="00DE247E">
        <w:rPr>
          <w:rFonts w:cs="Arial"/>
          <w:color w:val="000000" w:themeColor="text1"/>
          <w:lang w:val="en-US"/>
        </w:rPr>
        <w:t xml:space="preserve"> </w:t>
      </w:r>
      <w:r w:rsidR="00DE247E" w:rsidRPr="00DE247E">
        <w:rPr>
          <w:rFonts w:cs="Arial"/>
          <w:color w:val="000000" w:themeColor="text1"/>
          <w:lang w:val="en-US"/>
        </w:rPr>
        <w:t>These installations highlight how synchronous condensers are increasingly used to maintain voltage stability and system strength in networks with high and variable renewable penetration.</w:t>
      </w:r>
    </w:p>
    <w:p w14:paraId="635A5498" w14:textId="77777777" w:rsidR="0039048A" w:rsidRPr="0039048A" w:rsidRDefault="0039048A" w:rsidP="0039048A">
      <w:pPr>
        <w:spacing w:line="480" w:lineRule="auto"/>
        <w:jc w:val="both"/>
        <w:rPr>
          <w:rFonts w:cs="Arial"/>
          <w:color w:val="000000" w:themeColor="text1"/>
          <w:lang w:val="en-US"/>
        </w:rPr>
      </w:pPr>
    </w:p>
    <w:p w14:paraId="5E712581" w14:textId="77777777" w:rsidR="0039048A" w:rsidRPr="0039048A" w:rsidRDefault="0039048A" w:rsidP="0039048A">
      <w:pPr>
        <w:spacing w:line="480" w:lineRule="auto"/>
        <w:jc w:val="both"/>
        <w:rPr>
          <w:rFonts w:cs="Arial"/>
          <w:b/>
          <w:bCs/>
          <w:color w:val="000000" w:themeColor="text1"/>
          <w:lang w:val="en-US"/>
        </w:rPr>
      </w:pPr>
      <w:r w:rsidRPr="0039048A">
        <w:rPr>
          <w:rFonts w:cs="Arial"/>
          <w:b/>
          <w:bCs/>
          <w:color w:val="000000" w:themeColor="text1"/>
        </w:rPr>
        <w:t>Compatibility with existing infrastructure</w:t>
      </w:r>
    </w:p>
    <w:p w14:paraId="35B8AA0B" w14:textId="5FC0AC87" w:rsidR="0039048A" w:rsidRDefault="0039048A" w:rsidP="0039048A">
      <w:pPr>
        <w:spacing w:line="480" w:lineRule="auto"/>
        <w:jc w:val="both"/>
        <w:rPr>
          <w:rFonts w:cs="Arial"/>
          <w:color w:val="000000" w:themeColor="text1"/>
          <w:lang w:val="en-US"/>
        </w:rPr>
      </w:pPr>
      <w:r w:rsidRPr="06D34C13">
        <w:rPr>
          <w:rFonts w:cs="Arial"/>
          <w:color w:val="000000" w:themeColor="text1"/>
          <w:lang w:val="en-US"/>
        </w:rPr>
        <w:t xml:space="preserve">At the core of the performance of </w:t>
      </w:r>
      <w:hyperlink r:id="rId13">
        <w:r w:rsidRPr="06D34C13">
          <w:rPr>
            <w:rStyle w:val="Hyperlink"/>
            <w:rFonts w:cs="Arial"/>
            <w:lang w:val="en-US"/>
          </w:rPr>
          <w:t>WEG’s Rotating Synchronous Condenser</w:t>
        </w:r>
      </w:hyperlink>
      <w:r w:rsidRPr="06D34C13">
        <w:rPr>
          <w:rFonts w:cs="Arial"/>
          <w:color w:val="000000" w:themeColor="text1"/>
          <w:lang w:val="en-US"/>
        </w:rPr>
        <w:t xml:space="preserve"> is a stator built using </w:t>
      </w:r>
      <w:r w:rsidRPr="06D34C13">
        <w:rPr>
          <w:rFonts w:cs="Arial"/>
          <w:color w:val="000000" w:themeColor="text1"/>
        </w:rPr>
        <w:t>low-loss silicon steel lamination</w:t>
      </w:r>
      <w:r w:rsidRPr="06D34C13">
        <w:rPr>
          <w:rFonts w:cs="Arial"/>
          <w:color w:val="000000" w:themeColor="text1"/>
          <w:lang w:val="en-US"/>
        </w:rPr>
        <w:t xml:space="preserve">, which </w:t>
      </w:r>
      <w:proofErr w:type="spellStart"/>
      <w:r w:rsidRPr="06D34C13">
        <w:rPr>
          <w:rFonts w:cs="Arial"/>
          <w:color w:val="000000" w:themeColor="text1"/>
          <w:lang w:val="en-US"/>
        </w:rPr>
        <w:t>minimises</w:t>
      </w:r>
      <w:proofErr w:type="spellEnd"/>
      <w:r w:rsidRPr="06D34C13">
        <w:rPr>
          <w:rFonts w:cs="Arial"/>
          <w:color w:val="000000" w:themeColor="text1"/>
          <w:lang w:val="en-US"/>
        </w:rPr>
        <w:t xml:space="preserve"> energy dissipation </w:t>
      </w:r>
      <w:r w:rsidRPr="06D34C13">
        <w:rPr>
          <w:rFonts w:cs="Arial"/>
          <w:color w:val="000000" w:themeColor="text1"/>
        </w:rPr>
        <w:t xml:space="preserve">as heat </w:t>
      </w:r>
      <w:r w:rsidRPr="06D34C13">
        <w:rPr>
          <w:rFonts w:cs="Arial"/>
          <w:color w:val="000000" w:themeColor="text1"/>
        </w:rPr>
        <w:lastRenderedPageBreak/>
        <w:t>for enhanced overall efficiency, lowering power consumption and cooling requirements.</w:t>
      </w:r>
      <w:r w:rsidR="24B621FE" w:rsidRPr="06D34C13">
        <w:rPr>
          <w:rFonts w:cs="Arial"/>
          <w:color w:val="000000" w:themeColor="text1"/>
        </w:rPr>
        <w:t xml:space="preserve"> </w:t>
      </w:r>
      <w:r w:rsidRPr="06D34C13">
        <w:rPr>
          <w:rFonts w:cs="Arial"/>
          <w:color w:val="000000" w:themeColor="text1"/>
          <w:lang w:val="en-US"/>
        </w:rPr>
        <w:t>The system also includes sleeve bearings with an external forced oil lubrication system to reduce wear and extend service life.</w:t>
      </w:r>
    </w:p>
    <w:p w14:paraId="1EE4E17A" w14:textId="77777777" w:rsidR="0039048A" w:rsidRPr="0039048A" w:rsidRDefault="0039048A" w:rsidP="0039048A">
      <w:pPr>
        <w:spacing w:line="480" w:lineRule="auto"/>
        <w:jc w:val="both"/>
        <w:rPr>
          <w:rFonts w:cs="Arial"/>
          <w:color w:val="000000" w:themeColor="text1"/>
          <w:lang w:val="en-US"/>
        </w:rPr>
      </w:pPr>
    </w:p>
    <w:p w14:paraId="08603C38" w14:textId="03D3672A" w:rsidR="0039048A" w:rsidRDefault="0039048A" w:rsidP="00E04F24">
      <w:pPr>
        <w:spacing w:line="480" w:lineRule="auto"/>
        <w:jc w:val="both"/>
        <w:rPr>
          <w:rFonts w:cs="Arial"/>
          <w:color w:val="000000" w:themeColor="text1"/>
        </w:rPr>
      </w:pPr>
      <w:r w:rsidRPr="06D34C13">
        <w:rPr>
          <w:rFonts w:cs="Arial"/>
          <w:color w:val="000000" w:themeColor="text1"/>
        </w:rPr>
        <w:t xml:space="preserve">The system features a high-pressure lifting mechanism for smooth startup and shutdown, reducing stress. A </w:t>
      </w:r>
      <w:hyperlink r:id="rId14">
        <w:r w:rsidRPr="06D34C13">
          <w:rPr>
            <w:rStyle w:val="Hyperlink"/>
            <w:rFonts w:cs="Arial"/>
          </w:rPr>
          <w:t>variable frequency drive (VFD)</w:t>
        </w:r>
      </w:hyperlink>
      <w:r w:rsidRPr="06D34C13">
        <w:rPr>
          <w:rFonts w:cs="Arial"/>
          <w:color w:val="000000" w:themeColor="text1"/>
        </w:rPr>
        <w:t xml:space="preserve"> induction </w:t>
      </w:r>
      <w:r w:rsidR="00937C93">
        <w:rPr>
          <w:rFonts w:cs="Arial"/>
          <w:color w:val="000000" w:themeColor="text1"/>
        </w:rPr>
        <w:t>p</w:t>
      </w:r>
      <w:r w:rsidR="00937C93" w:rsidRPr="06D34C13">
        <w:rPr>
          <w:rFonts w:cs="Arial"/>
          <w:color w:val="000000" w:themeColor="text1"/>
        </w:rPr>
        <w:t xml:space="preserve">ony </w:t>
      </w:r>
      <w:r w:rsidR="00937C93">
        <w:rPr>
          <w:rFonts w:cs="Arial"/>
          <w:color w:val="000000" w:themeColor="text1"/>
        </w:rPr>
        <w:t>m</w:t>
      </w:r>
      <w:r w:rsidR="00937C93" w:rsidRPr="06D34C13">
        <w:rPr>
          <w:rFonts w:cs="Arial"/>
          <w:color w:val="000000" w:themeColor="text1"/>
        </w:rPr>
        <w:t>oto</w:t>
      </w:r>
      <w:r w:rsidR="00937C93">
        <w:rPr>
          <w:rFonts w:cs="Arial"/>
          <w:color w:val="000000" w:themeColor="text1"/>
        </w:rPr>
        <w:t xml:space="preserve">r — </w:t>
      </w:r>
      <w:r w:rsidR="00937C93" w:rsidRPr="00937C93">
        <w:rPr>
          <w:rFonts w:cs="Arial"/>
          <w:color w:val="000000" w:themeColor="text1"/>
        </w:rPr>
        <w:t>a smaller auxiliary motor used to drive a larger motor or system</w:t>
      </w:r>
      <w:r w:rsidR="00937C93">
        <w:rPr>
          <w:rFonts w:cs="Arial"/>
          <w:color w:val="000000" w:themeColor="text1"/>
        </w:rPr>
        <w:t xml:space="preserve"> — </w:t>
      </w:r>
      <w:r w:rsidRPr="06D34C13">
        <w:rPr>
          <w:rFonts w:cs="Arial"/>
          <w:color w:val="000000" w:themeColor="text1"/>
        </w:rPr>
        <w:t>accelerates the synchronous condenser to speed, minimising impact on the grid. It operates efficiently in various conditions with advanced cooling options and a condenser rated IP23 to IP55 for dust and moisture protection, while multiple mounting configurations ensure easy installation and compatibility with existing power infrastructure.</w:t>
      </w:r>
    </w:p>
    <w:p w14:paraId="2C183DE9" w14:textId="77777777" w:rsidR="0039048A" w:rsidRPr="0039048A" w:rsidRDefault="0039048A" w:rsidP="0039048A">
      <w:pPr>
        <w:spacing w:line="480" w:lineRule="auto"/>
        <w:jc w:val="both"/>
        <w:rPr>
          <w:rFonts w:cs="Arial"/>
          <w:color w:val="000000" w:themeColor="text1"/>
        </w:rPr>
      </w:pPr>
    </w:p>
    <w:p w14:paraId="6EF2EA1C" w14:textId="14D37361" w:rsidR="0039048A" w:rsidRDefault="0039048A" w:rsidP="0039048A">
      <w:pPr>
        <w:spacing w:line="480" w:lineRule="auto"/>
        <w:jc w:val="both"/>
        <w:rPr>
          <w:rFonts w:cs="Arial"/>
          <w:color w:val="000000" w:themeColor="text1"/>
        </w:rPr>
      </w:pPr>
      <w:r w:rsidRPr="06D34C13">
        <w:rPr>
          <w:rFonts w:cs="Arial"/>
          <w:color w:val="000000" w:themeColor="text1"/>
        </w:rPr>
        <w:t xml:space="preserve">As clean energy adoption accelerates, the demand for renewable energy is outpacing supply, creating a resource gap that threatens grid stability. Deloitte's </w:t>
      </w:r>
      <w:r w:rsidRPr="06D34C13">
        <w:rPr>
          <w:rFonts w:cs="Arial"/>
          <w:i/>
          <w:iCs/>
          <w:color w:val="000000" w:themeColor="text1"/>
        </w:rPr>
        <w:t>2025 Renewable Energy Industry Outlook</w:t>
      </w:r>
      <w:r w:rsidRPr="06D34C13">
        <w:rPr>
          <w:rFonts w:cs="Arial"/>
          <w:color w:val="000000" w:themeColor="text1"/>
        </w:rPr>
        <w:t xml:space="preserve"> emphasises the urgent need to reinforce power networks to meet this challenge. In response, WEG’s Rotating Synchronous Condenser provides a reliable, efficient solution to mitigate voltage fluctuations, integrate renewables and ensure a stable, resilient grid.</w:t>
      </w:r>
      <w:r w:rsidR="00937C93">
        <w:rPr>
          <w:rFonts w:cs="Arial"/>
          <w:color w:val="000000" w:themeColor="text1"/>
        </w:rPr>
        <w:t xml:space="preserve"> </w:t>
      </w:r>
      <w:r w:rsidR="00937C93" w:rsidRPr="00937C93">
        <w:rPr>
          <w:rFonts w:cs="Arial"/>
          <w:color w:val="000000" w:themeColor="text1"/>
        </w:rPr>
        <w:t xml:space="preserve">Additionally, </w:t>
      </w:r>
      <w:hyperlink r:id="rId15" w:history="1">
        <w:r w:rsidR="00937C93" w:rsidRPr="00937C93">
          <w:rPr>
            <w:rStyle w:val="Hyperlink"/>
            <w:rFonts w:cs="Arial"/>
          </w:rPr>
          <w:t>WEG’s Battery Energy Storage System (BESS)</w:t>
        </w:r>
      </w:hyperlink>
      <w:r w:rsidR="00937C93" w:rsidRPr="00937C93">
        <w:rPr>
          <w:rFonts w:cs="Arial"/>
          <w:color w:val="000000" w:themeColor="text1"/>
        </w:rPr>
        <w:t xml:space="preserve"> further enhances grid flexibility by storing excess renewable energy and supporting peak demand periods.</w:t>
      </w:r>
    </w:p>
    <w:p w14:paraId="14E2966D" w14:textId="77777777" w:rsidR="0039048A" w:rsidRPr="0039048A" w:rsidRDefault="0039048A" w:rsidP="0039048A">
      <w:pPr>
        <w:spacing w:line="480" w:lineRule="auto"/>
        <w:jc w:val="both"/>
        <w:rPr>
          <w:rFonts w:cs="Arial"/>
          <w:color w:val="000000" w:themeColor="text1"/>
        </w:rPr>
      </w:pPr>
    </w:p>
    <w:p w14:paraId="5F0D3940" w14:textId="195A37DA" w:rsidR="0039048A" w:rsidRPr="0039048A" w:rsidRDefault="0039048A" w:rsidP="06D34C13">
      <w:pPr>
        <w:spacing w:line="480" w:lineRule="auto"/>
        <w:jc w:val="both"/>
        <w:rPr>
          <w:rFonts w:cs="Arial"/>
          <w:i/>
          <w:iCs/>
          <w:color w:val="000000" w:themeColor="text1"/>
        </w:rPr>
      </w:pPr>
      <w:r w:rsidRPr="06D34C13">
        <w:rPr>
          <w:rFonts w:cs="Arial"/>
          <w:i/>
          <w:iCs/>
          <w:color w:val="000000" w:themeColor="text1"/>
        </w:rPr>
        <w:t xml:space="preserve">To learn more about </w:t>
      </w:r>
      <w:hyperlink r:id="rId16">
        <w:r w:rsidRPr="06D34C13">
          <w:rPr>
            <w:rStyle w:val="Hyperlink"/>
            <w:rFonts w:cs="Arial"/>
            <w:i/>
            <w:iCs/>
          </w:rPr>
          <w:t>Rotating Synchronous Condenser</w:t>
        </w:r>
      </w:hyperlink>
      <w:r w:rsidRPr="06D34C13">
        <w:rPr>
          <w:rFonts w:cs="Arial"/>
          <w:i/>
          <w:iCs/>
          <w:color w:val="000000" w:themeColor="text1"/>
        </w:rPr>
        <w:t xml:space="preserve"> technology and its role in energy grid stability, visit WEG's website.</w:t>
      </w:r>
    </w:p>
    <w:p w14:paraId="5D2DCB52" w14:textId="77777777" w:rsidR="003E5474" w:rsidRDefault="003E5474" w:rsidP="003E5474"/>
    <w:p w14:paraId="41147805" w14:textId="77777777" w:rsidR="0039048A" w:rsidRPr="005076D1" w:rsidRDefault="0039048A" w:rsidP="003E5474">
      <w:pPr>
        <w:rPr>
          <w:rFonts w:cs="Arial"/>
        </w:rPr>
      </w:pPr>
    </w:p>
    <w:p w14:paraId="5D2DCB53" w14:textId="1F46948C" w:rsidR="00E03D45" w:rsidRPr="005076D1" w:rsidRDefault="00E03D45" w:rsidP="00E03D45">
      <w:pPr>
        <w:rPr>
          <w:rFonts w:eastAsia="MS Mincho" w:cs="Arial"/>
        </w:rPr>
      </w:pPr>
      <w:r w:rsidRPr="00F603CF">
        <w:rPr>
          <w:rFonts w:eastAsia="MS Mincho" w:cs="Arial"/>
          <w:b/>
          <w:color w:val="4472C4"/>
        </w:rPr>
        <w:t>Ends:</w:t>
      </w:r>
      <w:r w:rsidRPr="005076D1">
        <w:rPr>
          <w:rFonts w:eastAsia="MS Mincho" w:cs="Arial"/>
        </w:rPr>
        <w:t xml:space="preserve"> </w:t>
      </w:r>
      <w:r w:rsidR="00C73480">
        <w:rPr>
          <w:rFonts w:eastAsia="MS Mincho" w:cs="Arial"/>
        </w:rPr>
        <w:t>938</w:t>
      </w:r>
      <w:r w:rsidR="000B3EF0" w:rsidRPr="005076D1">
        <w:rPr>
          <w:rFonts w:eastAsia="MS Mincho" w:cs="Arial"/>
        </w:rPr>
        <w:t xml:space="preserve"> </w:t>
      </w:r>
      <w:r w:rsidRPr="005076D1">
        <w:rPr>
          <w:rFonts w:eastAsia="MS Mincho" w:cs="Arial"/>
        </w:rPr>
        <w:t>words</w:t>
      </w:r>
    </w:p>
    <w:p w14:paraId="5D2DCB54" w14:textId="77777777" w:rsidR="00E03D45" w:rsidRPr="008A6A7A" w:rsidRDefault="00E03D45" w:rsidP="008A6A7A">
      <w:pPr>
        <w:rPr>
          <w:rFonts w:eastAsia="MS Mincho"/>
        </w:rPr>
      </w:pPr>
    </w:p>
    <w:p w14:paraId="5BB9A9A0" w14:textId="77777777" w:rsidR="00C8111D" w:rsidRDefault="00924FCE" w:rsidP="00C8111D">
      <w:r w:rsidRPr="00F603CF">
        <w:rPr>
          <w:rFonts w:eastAsia="MS Mincho"/>
          <w:b/>
          <w:color w:val="4472C4"/>
        </w:rPr>
        <w:t>Image caption:</w:t>
      </w:r>
      <w:r w:rsidRPr="008A6A7A">
        <w:rPr>
          <w:rFonts w:eastAsia="MS Mincho"/>
          <w:b/>
          <w:color w:val="FF9933"/>
        </w:rPr>
        <w:t xml:space="preserve"> </w:t>
      </w:r>
    </w:p>
    <w:p w14:paraId="4CACD2F4" w14:textId="23963A78" w:rsidR="00E04F24" w:rsidRDefault="00E04F24" w:rsidP="00C8111D">
      <w:pPr>
        <w:spacing w:line="480" w:lineRule="auto"/>
      </w:pPr>
      <w:r w:rsidRPr="00C8111D">
        <w:t xml:space="preserve">Image </w:t>
      </w:r>
      <w:r w:rsidR="00C8111D" w:rsidRPr="00C8111D">
        <w:t>one</w:t>
      </w:r>
      <w:r>
        <w:rPr>
          <w:i/>
          <w:iCs/>
        </w:rPr>
        <w:t xml:space="preserve"> – </w:t>
      </w:r>
      <w:r w:rsidR="00C8111D" w:rsidRPr="00C8111D">
        <w:rPr>
          <w:i/>
          <w:iCs/>
        </w:rPr>
        <w:t>Rotating synchronous condenser</w:t>
      </w:r>
      <w:r w:rsidR="00C8111D">
        <w:rPr>
          <w:i/>
          <w:iCs/>
        </w:rPr>
        <w:t xml:space="preserve"> technology</w:t>
      </w:r>
      <w:r w:rsidR="00C8111D" w:rsidRPr="00C8111D">
        <w:rPr>
          <w:i/>
          <w:iCs/>
        </w:rPr>
        <w:t xml:space="preserve"> enhances grid stability by balancing reactive and real power, ensuring a steady and reliable flow of renewable energy.</w:t>
      </w:r>
    </w:p>
    <w:p w14:paraId="692AE2DC" w14:textId="77777777" w:rsidR="00C8111D" w:rsidRPr="00C8111D" w:rsidRDefault="00C8111D" w:rsidP="00C8111D">
      <w:pPr>
        <w:spacing w:line="480" w:lineRule="auto"/>
      </w:pPr>
    </w:p>
    <w:p w14:paraId="6FDC2940" w14:textId="554DC4D1" w:rsidR="00E04F24" w:rsidRPr="00C8111D" w:rsidRDefault="00E04F24" w:rsidP="00C8111D">
      <w:pPr>
        <w:spacing w:line="480" w:lineRule="auto"/>
        <w:rPr>
          <w:i/>
          <w:iCs/>
        </w:rPr>
      </w:pPr>
      <w:r w:rsidRPr="00C8111D">
        <w:t>Image two</w:t>
      </w:r>
      <w:r>
        <w:rPr>
          <w:i/>
          <w:iCs/>
        </w:rPr>
        <w:t xml:space="preserve"> – </w:t>
      </w:r>
      <w:r w:rsidRPr="00C8111D">
        <w:rPr>
          <w:i/>
          <w:iCs/>
        </w:rPr>
        <w:t>WEG’s Rotating Synchronous Condenser is designed to regulate voltage levels, stabilise renewable energy sources and optimise power system efficiency.</w:t>
      </w:r>
    </w:p>
    <w:p w14:paraId="7F1487F7" w14:textId="77777777" w:rsidR="00E04F24" w:rsidRDefault="00E04F24" w:rsidP="00E04F24">
      <w:pPr>
        <w:spacing w:line="480" w:lineRule="auto"/>
      </w:pPr>
    </w:p>
    <w:p w14:paraId="5D2DCB57" w14:textId="77777777" w:rsidR="00E03D45" w:rsidRPr="008A6A7A" w:rsidRDefault="00E03D45" w:rsidP="008A6A7A">
      <w:r w:rsidRPr="00F603CF">
        <w:rPr>
          <w:rFonts w:eastAsia="MS Mincho"/>
          <w:b/>
          <w:bCs/>
          <w:color w:val="4472C4"/>
        </w:rPr>
        <w:t>Editor’s note:</w:t>
      </w:r>
      <w:r w:rsidRPr="008A6A7A">
        <w:rPr>
          <w:rFonts w:eastAsia="MS Mincho"/>
          <w:b/>
          <w:bCs/>
          <w:color w:val="439639"/>
        </w:rPr>
        <w:t xml:space="preserve"> </w:t>
      </w:r>
      <w:r w:rsidRPr="008A6A7A">
        <w:t xml:space="preserve">If you want to ensure you keep up to date with press material, opinion focussed content and case studies from </w:t>
      </w:r>
      <w:r w:rsidR="008A6A7A" w:rsidRPr="008A6A7A">
        <w:t>WEG</w:t>
      </w:r>
      <w:r w:rsidRPr="008A6A7A">
        <w:t xml:space="preserve"> visit </w:t>
      </w:r>
      <w:hyperlink r:id="rId17" w:history="1">
        <w:r w:rsidR="008A6A7A" w:rsidRPr="008A6A7A">
          <w:rPr>
            <w:rStyle w:val="Hyperlink"/>
            <w:rFonts w:cs="Arial"/>
          </w:rPr>
          <w:t>https://www.weg.net/institutional/MR/en/all-news/all</w:t>
        </w:r>
      </w:hyperlink>
    </w:p>
    <w:p w14:paraId="5D2DCB58" w14:textId="77777777" w:rsidR="00E03D45" w:rsidRPr="008A6A7A" w:rsidRDefault="00E03D45" w:rsidP="008A6A7A">
      <w:pPr>
        <w:rPr>
          <w:rFonts w:eastAsia="MS Mincho"/>
          <w:b/>
          <w:bCs/>
          <w:color w:val="00529C"/>
        </w:rPr>
      </w:pPr>
    </w:p>
    <w:p w14:paraId="5D2DCB59" w14:textId="77777777" w:rsidR="008A6A7A" w:rsidRPr="008A6A7A" w:rsidRDefault="00E03D45" w:rsidP="008A6A7A">
      <w:pPr>
        <w:rPr>
          <w:color w:val="000000"/>
          <w:lang w:eastAsia="en-GB"/>
        </w:rPr>
      </w:pPr>
      <w:r w:rsidRPr="00F603CF">
        <w:rPr>
          <w:rFonts w:eastAsia="MS Mincho"/>
          <w:b/>
          <w:bCs/>
          <w:color w:val="4472C4"/>
        </w:rPr>
        <w:t>For further information contact:</w:t>
      </w:r>
      <w:r w:rsidRPr="008A6A7A">
        <w:rPr>
          <w:rFonts w:eastAsia="MS Mincho"/>
          <w:b/>
          <w:bCs/>
          <w:color w:val="439639"/>
        </w:rPr>
        <w:t xml:space="preserve"> </w:t>
      </w:r>
      <w:r w:rsidR="008A6A7A" w:rsidRPr="008A6A7A">
        <w:rPr>
          <w:color w:val="000000"/>
          <w:lang w:eastAsia="en-GB"/>
        </w:rPr>
        <w:t>Marek Lukaszczyk</w:t>
      </w:r>
    </w:p>
    <w:p w14:paraId="5D2DCB5A" w14:textId="77777777" w:rsidR="005076D1" w:rsidRPr="008A6A7A" w:rsidRDefault="008A6A7A" w:rsidP="008A6A7A">
      <w:pPr>
        <w:rPr>
          <w:color w:val="E6950B"/>
          <w:shd w:val="clear" w:color="auto" w:fill="FFFFFF"/>
        </w:rPr>
      </w:pPr>
      <w:r w:rsidRPr="008A6A7A">
        <w:rPr>
          <w:color w:val="000000"/>
          <w:lang w:eastAsia="en-GB"/>
        </w:rPr>
        <w:t>Broad Ground Road, Lakeside, Redditch, Worcestershire B98 8YP</w:t>
      </w:r>
    </w:p>
    <w:p w14:paraId="5D2DCB5B" w14:textId="77777777" w:rsidR="00E03D45" w:rsidRPr="008A6A7A" w:rsidRDefault="00E03D45" w:rsidP="008A6A7A">
      <w:pPr>
        <w:rPr>
          <w:rFonts w:eastAsia="MS Mincho"/>
          <w:bCs/>
        </w:rPr>
      </w:pPr>
      <w:r w:rsidRPr="00F603CF">
        <w:rPr>
          <w:rFonts w:eastAsia="MS Mincho"/>
          <w:b/>
          <w:color w:val="4472C4"/>
          <w:lang w:val="en-US"/>
        </w:rPr>
        <w:t>www:</w:t>
      </w:r>
      <w:r w:rsidRPr="008A6A7A">
        <w:rPr>
          <w:color w:val="FF9933"/>
          <w:lang w:val="en-US"/>
        </w:rPr>
        <w:t xml:space="preserve"> </w:t>
      </w:r>
      <w:hyperlink r:id="rId18" w:history="1">
        <w:r w:rsidR="008A6A7A" w:rsidRPr="008A6A7A">
          <w:rPr>
            <w:rStyle w:val="Hyperlink"/>
            <w:rFonts w:cs="Arial"/>
          </w:rPr>
          <w:t>www.weg.net</w:t>
        </w:r>
      </w:hyperlink>
      <w:r w:rsidR="005076D1" w:rsidRPr="008A6A7A">
        <w:rPr>
          <w:bCs/>
        </w:rPr>
        <w:t xml:space="preserve"> </w:t>
      </w:r>
    </w:p>
    <w:p w14:paraId="5D2DCB5C" w14:textId="77777777" w:rsidR="00E03D45" w:rsidRPr="008A6A7A" w:rsidRDefault="00E03D45" w:rsidP="008A6A7A">
      <w:pPr>
        <w:rPr>
          <w:lang w:val="it-IT"/>
        </w:rPr>
      </w:pPr>
      <w:r w:rsidRPr="00F603CF">
        <w:rPr>
          <w:rFonts w:eastAsia="MS Mincho"/>
          <w:b/>
          <w:bCs/>
          <w:color w:val="4472C4"/>
          <w:lang w:val="it-IT"/>
        </w:rPr>
        <w:t>e-mail</w:t>
      </w:r>
      <w:r w:rsidRPr="00F603CF">
        <w:rPr>
          <w:rFonts w:eastAsia="MS Mincho"/>
          <w:b/>
          <w:color w:val="4472C4"/>
          <w:lang w:val="it-IT"/>
        </w:rPr>
        <w:t>:</w:t>
      </w:r>
      <w:r w:rsidRPr="008A6A7A">
        <w:rPr>
          <w:rFonts w:eastAsia="MS Mincho"/>
          <w:color w:val="00B4EC"/>
          <w:lang w:val="it-IT"/>
        </w:rPr>
        <w:t xml:space="preserve"> </w:t>
      </w:r>
      <w:hyperlink r:id="rId19" w:history="1">
        <w:r w:rsidR="008A6A7A" w:rsidRPr="008A6A7A">
          <w:rPr>
            <w:rStyle w:val="Hyperlink"/>
            <w:rFonts w:cs="Arial"/>
            <w:color w:val="auto"/>
            <w:shd w:val="clear" w:color="auto" w:fill="FFFFFF"/>
          </w:rPr>
          <w:t>info-uk@weg.net</w:t>
        </w:r>
      </w:hyperlink>
    </w:p>
    <w:p w14:paraId="5D2DCB5D" w14:textId="77777777" w:rsidR="00E03D45" w:rsidRPr="008A6A7A" w:rsidRDefault="00E03D45" w:rsidP="008A6A7A">
      <w:pPr>
        <w:rPr>
          <w:rFonts w:eastAsia="MS Mincho"/>
          <w:color w:val="0C7289"/>
          <w:lang w:val="it-IT"/>
        </w:rPr>
      </w:pPr>
    </w:p>
    <w:p w14:paraId="5D2DCB5E" w14:textId="4B4E2FE2" w:rsidR="00E03D45" w:rsidRPr="008A6A7A" w:rsidRDefault="00E03D45" w:rsidP="008A6A7A">
      <w:pPr>
        <w:rPr>
          <w:rFonts w:eastAsia="MS Mincho"/>
          <w:spacing w:val="-3"/>
        </w:rPr>
      </w:pPr>
      <w:r w:rsidRPr="00F603CF">
        <w:rPr>
          <w:rFonts w:eastAsia="MS Mincho"/>
          <w:b/>
          <w:bCs/>
          <w:color w:val="4472C4"/>
        </w:rPr>
        <w:t>Press enquiries:</w:t>
      </w:r>
      <w:r w:rsidRPr="008A6A7A">
        <w:rPr>
          <w:rFonts w:eastAsia="MS Mincho"/>
          <w:b/>
          <w:bCs/>
          <w:color w:val="00B4EC"/>
          <w:spacing w:val="-3"/>
        </w:rPr>
        <w:t xml:space="preserve"> </w:t>
      </w:r>
      <w:r w:rsidR="00741BAF">
        <w:rPr>
          <w:rFonts w:eastAsia="MS Mincho"/>
          <w:spacing w:val="-3"/>
        </w:rPr>
        <w:t>Encarna Nunez</w:t>
      </w:r>
      <w:r w:rsidR="0010339A">
        <w:rPr>
          <w:rFonts w:eastAsia="MS Mincho"/>
          <w:spacing w:val="-3"/>
        </w:rPr>
        <w:t xml:space="preserve"> or Stephanie </w:t>
      </w:r>
      <w:r w:rsidR="00741BAF">
        <w:rPr>
          <w:rFonts w:eastAsia="MS Mincho"/>
          <w:spacing w:val="-3"/>
        </w:rPr>
        <w:t xml:space="preserve">Carson </w:t>
      </w:r>
      <w:r w:rsidR="0010339A">
        <w:rPr>
          <w:rFonts w:eastAsia="MS Mincho"/>
          <w:spacing w:val="-3"/>
        </w:rPr>
        <w:t>Wood</w:t>
      </w:r>
      <w:r w:rsidRPr="008A6A7A">
        <w:rPr>
          <w:rFonts w:eastAsia="MS Mincho"/>
          <w:spacing w:val="-3"/>
        </w:rPr>
        <w:t xml:space="preserve"> – Stone Junction Ltd</w:t>
      </w:r>
    </w:p>
    <w:p w14:paraId="5D2DCB5F" w14:textId="77777777" w:rsidR="00E03D45" w:rsidRPr="00E23DAC" w:rsidRDefault="00E23DAC" w:rsidP="008A6A7A">
      <w:pPr>
        <w:rPr>
          <w:rFonts w:cs="Arial"/>
          <w:color w:val="000000"/>
          <w:lang w:eastAsia="en-GB"/>
        </w:rPr>
      </w:pPr>
      <w:r w:rsidRPr="00B20A0A">
        <w:rPr>
          <w:rFonts w:cs="Arial"/>
          <w:color w:val="000000"/>
          <w:lang w:eastAsia="en-GB"/>
        </w:rPr>
        <w:t>Suites 1&amp;2 The Malthouse, Water Street, Stafford, Staffordshire, ST16 1AR </w:t>
      </w:r>
      <w:r w:rsidR="00E03D45" w:rsidRPr="008A6A7A">
        <w:rPr>
          <w:rFonts w:eastAsia="MS Mincho"/>
          <w:noProof/>
          <w:lang w:eastAsia="en-GB"/>
        </w:rPr>
        <w:br/>
      </w:r>
      <w:r w:rsidR="00E03D45" w:rsidRPr="00F603CF">
        <w:rPr>
          <w:rFonts w:eastAsia="MS Mincho"/>
          <w:b/>
          <w:bCs/>
          <w:color w:val="4472C4"/>
        </w:rPr>
        <w:t>Telephone:</w:t>
      </w:r>
      <w:r w:rsidR="00E03D45" w:rsidRPr="008A6A7A">
        <w:rPr>
          <w:rFonts w:eastAsia="MS Mincho"/>
          <w:color w:val="002060"/>
          <w:spacing w:val="-3"/>
        </w:rPr>
        <w:t xml:space="preserve"> </w:t>
      </w:r>
      <w:r w:rsidR="00E03D45" w:rsidRPr="008A6A7A">
        <w:rPr>
          <w:rFonts w:eastAsia="MS Mincho"/>
          <w:spacing w:val="-3"/>
        </w:rPr>
        <w:t>+44 (0) 1785 225416</w:t>
      </w:r>
    </w:p>
    <w:p w14:paraId="5D2DCB60" w14:textId="596FBCE4" w:rsidR="00E03D45" w:rsidRPr="008A6A7A" w:rsidRDefault="00E03D45" w:rsidP="008A6A7A">
      <w:pPr>
        <w:rPr>
          <w:rFonts w:eastAsia="MS Mincho"/>
          <w:spacing w:val="-3"/>
        </w:rPr>
      </w:pPr>
      <w:r w:rsidRPr="00F603CF">
        <w:rPr>
          <w:rFonts w:eastAsia="MS Mincho"/>
          <w:b/>
          <w:bCs/>
          <w:color w:val="4472C4"/>
        </w:rPr>
        <w:t>e-mail:</w:t>
      </w:r>
      <w:r w:rsidRPr="008A6A7A">
        <w:rPr>
          <w:rFonts w:eastAsia="MS Mincho"/>
          <w:color w:val="00B050"/>
          <w:spacing w:val="-3"/>
        </w:rPr>
        <w:t xml:space="preserve"> </w:t>
      </w:r>
      <w:hyperlink r:id="rId20" w:history="1">
        <w:r w:rsidR="00741BAF" w:rsidRPr="00B02957">
          <w:rPr>
            <w:rStyle w:val="Hyperlink"/>
            <w:rFonts w:eastAsia="MS Mincho" w:cs="Arial"/>
            <w:spacing w:val="-3"/>
          </w:rPr>
          <w:t>encarna@stonejunction.co.uk</w:t>
        </w:r>
      </w:hyperlink>
      <w:r w:rsidRPr="008A6A7A">
        <w:rPr>
          <w:rFonts w:eastAsia="MS Mincho"/>
          <w:spacing w:val="-3"/>
        </w:rPr>
        <w:t xml:space="preserve"> </w:t>
      </w:r>
      <w:r w:rsidR="0010339A">
        <w:rPr>
          <w:rFonts w:eastAsia="MS Mincho"/>
          <w:spacing w:val="-3"/>
        </w:rPr>
        <w:t xml:space="preserve">or </w:t>
      </w:r>
      <w:hyperlink r:id="rId21" w:history="1">
        <w:r w:rsidR="0010339A" w:rsidRPr="00CD5A26">
          <w:rPr>
            <w:rStyle w:val="Hyperlink"/>
            <w:rFonts w:eastAsia="MS Mincho"/>
            <w:spacing w:val="-3"/>
          </w:rPr>
          <w:t>stephanie@stonejunction.co.uk</w:t>
        </w:r>
      </w:hyperlink>
      <w:r w:rsidR="0010339A">
        <w:rPr>
          <w:rFonts w:eastAsia="MS Mincho"/>
          <w:spacing w:val="-3"/>
        </w:rPr>
        <w:t xml:space="preserve"> </w:t>
      </w:r>
    </w:p>
    <w:p w14:paraId="5D2DCB61" w14:textId="5B472EF6" w:rsidR="00E03D45" w:rsidRPr="008A6A7A" w:rsidRDefault="00E03D45" w:rsidP="008A6A7A">
      <w:pPr>
        <w:rPr>
          <w:rFonts w:eastAsia="MS Mincho"/>
          <w:spacing w:val="-3"/>
          <w:lang w:val="de-DE"/>
        </w:rPr>
      </w:pPr>
      <w:r w:rsidRPr="00F603CF">
        <w:rPr>
          <w:rFonts w:eastAsia="MS Mincho"/>
          <w:b/>
          <w:bCs/>
          <w:color w:val="4472C4"/>
          <w:lang w:val="de-DE"/>
        </w:rPr>
        <w:t>www:</w:t>
      </w:r>
      <w:r w:rsidRPr="008A6A7A">
        <w:rPr>
          <w:rFonts w:eastAsia="MS Mincho"/>
          <w:color w:val="00B050"/>
          <w:spacing w:val="-3"/>
          <w:lang w:val="de-DE"/>
        </w:rPr>
        <w:t xml:space="preserve"> </w:t>
      </w:r>
      <w:hyperlink r:id="rId22" w:history="1">
        <w:r w:rsidR="00741BAF" w:rsidRPr="00B02957">
          <w:rPr>
            <w:rStyle w:val="Hyperlink"/>
            <w:rFonts w:eastAsia="MS Mincho" w:cs="Arial"/>
            <w:spacing w:val="-3"/>
            <w:lang w:val="de-DE"/>
          </w:rPr>
          <w:t>www.wechangeminds.com</w:t>
        </w:r>
      </w:hyperlink>
      <w:r w:rsidR="00741BAF">
        <w:rPr>
          <w:rFonts w:eastAsia="MS Mincho" w:cs="Arial"/>
          <w:spacing w:val="-3"/>
          <w:lang w:val="de-DE"/>
        </w:rPr>
        <w:t xml:space="preserve"> </w:t>
      </w:r>
      <w:r w:rsidRPr="008A6A7A">
        <w:rPr>
          <w:rFonts w:eastAsia="MS Mincho"/>
          <w:spacing w:val="-3"/>
          <w:lang w:val="de-DE"/>
        </w:rPr>
        <w:t xml:space="preserve">  </w:t>
      </w:r>
    </w:p>
    <w:p w14:paraId="5D2DCB63" w14:textId="2F9107B7" w:rsidR="00E03D45" w:rsidRPr="008A6A7A" w:rsidRDefault="00741BAF" w:rsidP="008A6A7A">
      <w:pPr>
        <w:rPr>
          <w:rFonts w:eastAsia="MS Mincho"/>
          <w:bCs/>
          <w:color w:val="002060"/>
          <w:spacing w:val="-3"/>
        </w:rPr>
      </w:pPr>
      <w:r>
        <w:rPr>
          <w:rFonts w:eastAsia="MS Mincho"/>
          <w:b/>
          <w:bCs/>
          <w:color w:val="4472C4"/>
        </w:rPr>
        <w:t>X</w:t>
      </w:r>
      <w:r w:rsidR="00E03D45" w:rsidRPr="00F603CF">
        <w:rPr>
          <w:rFonts w:eastAsia="MS Mincho"/>
          <w:b/>
          <w:bCs/>
          <w:color w:val="4472C4"/>
        </w:rPr>
        <w:t>:</w:t>
      </w:r>
      <w:r w:rsidR="00E03D45" w:rsidRPr="008A6A7A">
        <w:rPr>
          <w:rFonts w:eastAsia="MS Mincho"/>
          <w:b/>
          <w:bCs/>
          <w:color w:val="00529C"/>
          <w:spacing w:val="-3"/>
        </w:rPr>
        <w:t xml:space="preserve"> </w:t>
      </w:r>
      <w:hyperlink r:id="rId23" w:history="1">
        <w:r w:rsidRPr="00B02957">
          <w:rPr>
            <w:rStyle w:val="Hyperlink"/>
            <w:rFonts w:eastAsia="MS Mincho" w:cs="Arial"/>
            <w:bCs/>
            <w:spacing w:val="-3"/>
          </w:rPr>
          <w:t>www.x.com/StoneJunctionPR</w:t>
        </w:r>
      </w:hyperlink>
    </w:p>
    <w:p w14:paraId="5D2DCB64" w14:textId="77777777" w:rsidR="00E03D45" w:rsidRPr="008A6A7A" w:rsidRDefault="00E03D45" w:rsidP="008A6A7A">
      <w:pPr>
        <w:rPr>
          <w:rFonts w:eastAsia="MS Mincho"/>
          <w:bCs/>
          <w:color w:val="002060"/>
          <w:spacing w:val="-3"/>
        </w:rPr>
      </w:pPr>
      <w:r w:rsidRPr="00F603CF">
        <w:rPr>
          <w:rFonts w:eastAsia="MS Mincho"/>
          <w:b/>
          <w:bCs/>
          <w:color w:val="4472C4"/>
        </w:rPr>
        <w:t>Facebook</w:t>
      </w:r>
      <w:r w:rsidRPr="00F603CF">
        <w:rPr>
          <w:rFonts w:eastAsia="MS Mincho"/>
          <w:b/>
          <w:bCs/>
          <w:color w:val="4472C4"/>
          <w:spacing w:val="-3"/>
        </w:rPr>
        <w:t>:</w:t>
      </w:r>
      <w:r w:rsidRPr="008A6A7A">
        <w:rPr>
          <w:rFonts w:eastAsia="MS Mincho"/>
          <w:b/>
          <w:bCs/>
          <w:color w:val="00B050"/>
          <w:spacing w:val="-3"/>
        </w:rPr>
        <w:t xml:space="preserve"> </w:t>
      </w:r>
      <w:hyperlink r:id="rId24" w:history="1">
        <w:r w:rsidRPr="008A6A7A">
          <w:rPr>
            <w:rStyle w:val="Hyperlink"/>
            <w:rFonts w:eastAsia="MS Mincho" w:cs="Arial"/>
          </w:rPr>
          <w:t>http://www.facebook.com/technicalPR</w:t>
        </w:r>
      </w:hyperlink>
    </w:p>
    <w:p w14:paraId="5D2DCB65" w14:textId="77777777" w:rsidR="00E03D45" w:rsidRPr="008A6A7A" w:rsidRDefault="00E03D45" w:rsidP="008A6A7A">
      <w:pPr>
        <w:rPr>
          <w:rFonts w:eastAsia="MS Mincho"/>
          <w:b/>
          <w:bCs/>
          <w:color w:val="002060"/>
          <w:spacing w:val="-3"/>
          <w:lang w:val="de-DE"/>
        </w:rPr>
      </w:pPr>
      <w:r w:rsidRPr="00F603CF">
        <w:rPr>
          <w:rFonts w:eastAsia="MS Mincho"/>
          <w:b/>
          <w:bCs/>
          <w:color w:val="4472C4"/>
          <w:lang w:val="de-DE"/>
        </w:rPr>
        <w:t>LinkedIn:</w:t>
      </w:r>
      <w:r w:rsidRPr="00F603CF">
        <w:rPr>
          <w:rFonts w:eastAsia="MS Mincho"/>
          <w:noProof/>
          <w:color w:val="4472C4"/>
          <w:lang w:val="de-DE" w:eastAsia="en-GB"/>
        </w:rPr>
        <w:t xml:space="preserve"> </w:t>
      </w:r>
      <w:hyperlink r:id="rId25" w:history="1">
        <w:r w:rsidRPr="008A6A7A">
          <w:rPr>
            <w:rStyle w:val="Hyperlink"/>
            <w:rFonts w:eastAsia="MS Mincho" w:cs="Arial"/>
            <w:lang w:val="de-DE"/>
          </w:rPr>
          <w:t>https://www.linkedin.com/company/stone-junction-ltd</w:t>
        </w:r>
      </w:hyperlink>
    </w:p>
    <w:p w14:paraId="5D2DCB66" w14:textId="77777777" w:rsidR="00E03D45" w:rsidRPr="008A6A7A" w:rsidRDefault="00E03D45" w:rsidP="008A6A7A">
      <w:pPr>
        <w:rPr>
          <w:rFonts w:eastAsia="MS Mincho"/>
          <w:b/>
          <w:bCs/>
          <w:color w:val="439639"/>
          <w:lang w:val="de-DE"/>
        </w:rPr>
      </w:pPr>
    </w:p>
    <w:p w14:paraId="5D2DCB67" w14:textId="77777777" w:rsidR="00A97965" w:rsidRDefault="00382C38" w:rsidP="00A97965">
      <w:pPr>
        <w:pStyle w:val="NormalWeb"/>
        <w:jc w:val="both"/>
        <w:rPr>
          <w:rFonts w:ascii="Arial" w:hAnsi="Arial" w:cs="Arial"/>
          <w:lang w:val="en-GB"/>
        </w:rPr>
      </w:pPr>
      <w:r w:rsidRPr="00382C38">
        <w:rPr>
          <w:rFonts w:ascii="Arial" w:eastAsia="MS Mincho" w:hAnsi="Arial" w:cs="Arial"/>
          <w:b/>
          <w:bCs/>
          <w:color w:val="4472C4"/>
        </w:rPr>
        <w:t>About WEG:</w:t>
      </w:r>
      <w:r w:rsidRPr="00382C38">
        <w:rPr>
          <w:rFonts w:ascii="Arial" w:hAnsi="Arial" w:cs="Arial"/>
          <w:color w:val="2D2B2B"/>
          <w:shd w:val="clear" w:color="auto" w:fill="FFFFFF"/>
        </w:rPr>
        <w:t xml:space="preserve"> </w:t>
      </w:r>
      <w:r w:rsidR="00A97965" w:rsidRPr="00A97965">
        <w:rPr>
          <w:rFonts w:ascii="Arial" w:hAnsi="Arial" w:cs="Arial"/>
          <w:lang w:val="en-GB"/>
        </w:rPr>
        <w:t xml:space="preserve">Founded in 1961, WEG is a global electric-electronic equipment </w:t>
      </w:r>
      <w:proofErr w:type="gramStart"/>
      <w:r w:rsidR="00A97965" w:rsidRPr="00A97965">
        <w:rPr>
          <w:rFonts w:ascii="Arial" w:hAnsi="Arial" w:cs="Arial"/>
          <w:lang w:val="en-GB"/>
        </w:rPr>
        <w:t>company,</w:t>
      </w:r>
      <w:proofErr w:type="gramEnd"/>
      <w:r w:rsidR="00A97965" w:rsidRPr="00A97965">
        <w:rPr>
          <w:rFonts w:ascii="Arial" w:hAnsi="Arial" w:cs="Arial"/>
          <w:lang w:val="en-GB"/>
        </w:rPr>
        <w:t xml:space="preserve"> operating mainly in the capital goods sector with solutions in electric machines, automation and paints for several sectors, including infrastructure, steel, pulp and paper, oil and gas, mining, among many others. </w:t>
      </w:r>
    </w:p>
    <w:p w14:paraId="3D18F100" w14:textId="77777777" w:rsidR="002C3373" w:rsidRDefault="002C3373" w:rsidP="002C3373">
      <w:pPr>
        <w:pStyle w:val="NormalWeb"/>
        <w:jc w:val="both"/>
        <w:rPr>
          <w:rFonts w:ascii="Arial" w:hAnsi="Arial" w:cs="Arial"/>
        </w:rPr>
      </w:pPr>
      <w:r w:rsidRPr="004D34BA">
        <w:rPr>
          <w:rFonts w:ascii="Arial" w:hAnsi="Arial" w:cs="Arial"/>
          <w:lang w:val="en-GB"/>
        </w:rPr>
        <w:t xml:space="preserve">WEG stands out in innovation by constantly developing solutions to meet the major trends in energy efficiency, renewable energy and electric mobility. With manufacturing sites in 18 countries and present in more than 120 countries, the company has more than 47,000 </w:t>
      </w:r>
      <w:r w:rsidRPr="004D34BA">
        <w:rPr>
          <w:rFonts w:ascii="Arial" w:hAnsi="Arial" w:cs="Arial"/>
          <w:lang w:val="en-GB"/>
        </w:rPr>
        <w:lastRenderedPageBreak/>
        <w:t>employees worldwide. WEG’s net revenue reached R$ 38.0 billion in 2024, 57 per cent from external markets. For more information, visit</w:t>
      </w:r>
      <w:r>
        <w:rPr>
          <w:rFonts w:ascii="Arial" w:hAnsi="Arial" w:cs="Arial"/>
        </w:rPr>
        <w:t xml:space="preserve"> </w:t>
      </w:r>
      <w:hyperlink r:id="rId26" w:history="1">
        <w:r w:rsidRPr="00856AAC">
          <w:rPr>
            <w:rStyle w:val="Hyperlink"/>
            <w:rFonts w:ascii="Arial" w:hAnsi="Arial" w:cs="Arial"/>
          </w:rPr>
          <w:t>www.weg.net</w:t>
        </w:r>
      </w:hyperlink>
    </w:p>
    <w:p w14:paraId="5D2DCB6B" w14:textId="466144C2" w:rsidR="00B86E1F" w:rsidRPr="005076D1" w:rsidRDefault="00E03D45" w:rsidP="00E03D45">
      <w:pPr>
        <w:rPr>
          <w:rFonts w:eastAsia="MS Mincho" w:cs="Arial"/>
          <w:b/>
          <w:color w:val="CC3300"/>
          <w:spacing w:val="-3"/>
        </w:rPr>
      </w:pPr>
      <w:r w:rsidRPr="00F603CF">
        <w:rPr>
          <w:rFonts w:eastAsia="MS Mincho" w:cs="Arial"/>
          <w:b/>
          <w:bCs/>
          <w:color w:val="4472C4"/>
        </w:rPr>
        <w:t>Ref:</w:t>
      </w:r>
      <w:r w:rsidRPr="005076D1">
        <w:rPr>
          <w:rFonts w:eastAsia="MS Mincho" w:cs="Arial"/>
          <w:spacing w:val="-3"/>
        </w:rPr>
        <w:t xml:space="preserve"> </w:t>
      </w:r>
      <w:r w:rsidR="008A6A7A">
        <w:rPr>
          <w:rFonts w:eastAsia="MS Mincho" w:cs="Arial"/>
          <w:spacing w:val="-3"/>
        </w:rPr>
        <w:t>WEG</w:t>
      </w:r>
      <w:r w:rsidR="0039048A">
        <w:rPr>
          <w:rFonts w:eastAsia="MS Mincho" w:cs="Arial"/>
          <w:spacing w:val="-3"/>
        </w:rPr>
        <w:t>1359</w:t>
      </w:r>
      <w:r w:rsidRPr="005076D1">
        <w:rPr>
          <w:rFonts w:eastAsia="MS Mincho" w:cs="Arial"/>
          <w:spacing w:val="-3"/>
        </w:rPr>
        <w:t>/</w:t>
      </w:r>
      <w:r w:rsidR="0039048A">
        <w:rPr>
          <w:rFonts w:eastAsia="MS Mincho" w:cs="Arial"/>
          <w:spacing w:val="-3"/>
        </w:rPr>
        <w:t>02</w:t>
      </w:r>
      <w:r w:rsidRPr="005076D1">
        <w:rPr>
          <w:rFonts w:eastAsia="MS Mincho" w:cs="Arial"/>
          <w:spacing w:val="-3"/>
        </w:rPr>
        <w:t>/</w:t>
      </w:r>
      <w:r w:rsidR="0039048A">
        <w:rPr>
          <w:rFonts w:eastAsia="MS Mincho" w:cs="Arial"/>
          <w:spacing w:val="-3"/>
        </w:rPr>
        <w:t>2</w:t>
      </w:r>
      <w:r w:rsidR="00741BAF">
        <w:rPr>
          <w:rFonts w:eastAsia="MS Mincho" w:cs="Arial"/>
          <w:spacing w:val="-3"/>
        </w:rPr>
        <w:t>5</w:t>
      </w:r>
    </w:p>
    <w:sectPr w:rsidR="00B86E1F" w:rsidRPr="005076D1" w:rsidSect="006D0EBA">
      <w:headerReference w:type="first" r:id="rId27"/>
      <w:pgSz w:w="12240" w:h="15840"/>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702DBAE" w14:textId="77777777" w:rsidR="00A9140D" w:rsidRDefault="00A9140D" w:rsidP="00C0175F">
      <w:r>
        <w:separator/>
      </w:r>
    </w:p>
  </w:endnote>
  <w:endnote w:type="continuationSeparator" w:id="0">
    <w:p w14:paraId="1053BBA6" w14:textId="77777777" w:rsidR="00A9140D" w:rsidRDefault="00A9140D" w:rsidP="00C0175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MS Mincho">
    <w:panose1 w:val="02020609040205080304"/>
    <w:charset w:val="80"/>
    <w:family w:val="modern"/>
    <w:pitch w:val="fixed"/>
    <w:sig w:usb0="E00002FF" w:usb1="6AC7FDFB" w:usb2="08000012" w:usb3="00000000" w:csb0="0002009F" w:csb1="00000000"/>
  </w:font>
  <w:font w:name="Cambria Math">
    <w:panose1 w:val="02040503050406030204"/>
    <w:charset w:val="00"/>
    <w:family w:val="roman"/>
    <w:pitch w:val="variable"/>
    <w:sig w:usb0="E00006FF" w:usb1="420024FF" w:usb2="02000000" w:usb3="00000000" w:csb0="0000019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 w:name="Yu Mincho">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D270995" w14:textId="77777777" w:rsidR="00A9140D" w:rsidRDefault="00A9140D" w:rsidP="00C0175F">
      <w:r>
        <w:separator/>
      </w:r>
    </w:p>
  </w:footnote>
  <w:footnote w:type="continuationSeparator" w:id="0">
    <w:p w14:paraId="5CE6BAC5" w14:textId="77777777" w:rsidR="00A9140D" w:rsidRDefault="00A9140D" w:rsidP="00C0175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D2DCB72" w14:textId="77777777" w:rsidR="00C0175F" w:rsidRDefault="00C0175F" w:rsidP="006D0EBA">
    <w:pPr>
      <w:pStyle w:val="Header"/>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D9B13D8"/>
    <w:multiLevelType w:val="multilevel"/>
    <w:tmpl w:val="E3446938"/>
    <w:lvl w:ilvl="0">
      <w:numFmt w:val="bullet"/>
      <w:lvlText w:val=""/>
      <w:lvlJc w:val="left"/>
      <w:pPr>
        <w:ind w:left="720" w:hanging="360"/>
      </w:pPr>
      <w:rPr>
        <w:rFonts w:ascii="Wingdings" w:hAnsi="Wingdings"/>
      </w:rPr>
    </w:lvl>
    <w:lvl w:ilvl="1">
      <w:numFmt w:val="bullet"/>
      <w:lvlText w:val=""/>
      <w:lvlJc w:val="left"/>
      <w:pPr>
        <w:ind w:left="1440" w:hanging="360"/>
      </w:pPr>
      <w:rPr>
        <w:rFonts w:ascii="Wingdings" w:hAnsi="Wingdings"/>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Wingdings" w:hAnsi="Wingdings"/>
      </w:rPr>
    </w:lvl>
    <w:lvl w:ilvl="4">
      <w:numFmt w:val="bullet"/>
      <w:lvlText w:val=""/>
      <w:lvlJc w:val="left"/>
      <w:pPr>
        <w:ind w:left="3600" w:hanging="360"/>
      </w:pPr>
      <w:rPr>
        <w:rFonts w:ascii="Wingdings" w:hAnsi="Wingdings"/>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Wingdings" w:hAnsi="Wingdings"/>
      </w:rPr>
    </w:lvl>
    <w:lvl w:ilvl="7">
      <w:numFmt w:val="bullet"/>
      <w:lvlText w:val=""/>
      <w:lvlJc w:val="left"/>
      <w:pPr>
        <w:ind w:left="5760" w:hanging="360"/>
      </w:pPr>
      <w:rPr>
        <w:rFonts w:ascii="Wingdings" w:hAnsi="Wingdings"/>
      </w:rPr>
    </w:lvl>
    <w:lvl w:ilvl="8">
      <w:numFmt w:val="bullet"/>
      <w:lvlText w:val=""/>
      <w:lvlJc w:val="left"/>
      <w:pPr>
        <w:ind w:left="6480" w:hanging="360"/>
      </w:pPr>
      <w:rPr>
        <w:rFonts w:ascii="Wingdings" w:hAnsi="Wingdings"/>
      </w:rPr>
    </w:lvl>
  </w:abstractNum>
  <w:num w:numId="1" w16cid:durableId="6525681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0"/>
  <w:proofState w:spelling="clean" w:grammar="clean"/>
  <w:defaultTabStop w:val="720"/>
  <w:drawingGridHorizontalSpacing w:val="120"/>
  <w:displayHorizont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646FD"/>
    <w:rsid w:val="00012707"/>
    <w:rsid w:val="00013AE7"/>
    <w:rsid w:val="000245BC"/>
    <w:rsid w:val="00027D32"/>
    <w:rsid w:val="00045BF8"/>
    <w:rsid w:val="0005012E"/>
    <w:rsid w:val="0008482A"/>
    <w:rsid w:val="000B3EF0"/>
    <w:rsid w:val="000B7E0B"/>
    <w:rsid w:val="000C2851"/>
    <w:rsid w:val="000D6C36"/>
    <w:rsid w:val="000E5A74"/>
    <w:rsid w:val="000F78F9"/>
    <w:rsid w:val="00100332"/>
    <w:rsid w:val="00100B12"/>
    <w:rsid w:val="0010339A"/>
    <w:rsid w:val="00123F6C"/>
    <w:rsid w:val="00127C72"/>
    <w:rsid w:val="001339EB"/>
    <w:rsid w:val="00147C6D"/>
    <w:rsid w:val="001514E7"/>
    <w:rsid w:val="00155C9B"/>
    <w:rsid w:val="00165FE6"/>
    <w:rsid w:val="001717D6"/>
    <w:rsid w:val="001749B1"/>
    <w:rsid w:val="00175EA9"/>
    <w:rsid w:val="001B2D8F"/>
    <w:rsid w:val="001C062A"/>
    <w:rsid w:val="001C332B"/>
    <w:rsid w:val="001C4B73"/>
    <w:rsid w:val="001D6804"/>
    <w:rsid w:val="001E1CD7"/>
    <w:rsid w:val="001E7799"/>
    <w:rsid w:val="00222B08"/>
    <w:rsid w:val="002249E7"/>
    <w:rsid w:val="00235427"/>
    <w:rsid w:val="002466F0"/>
    <w:rsid w:val="00254DE6"/>
    <w:rsid w:val="002729EE"/>
    <w:rsid w:val="00274A0D"/>
    <w:rsid w:val="002A1459"/>
    <w:rsid w:val="002A4040"/>
    <w:rsid w:val="002B2F32"/>
    <w:rsid w:val="002B5A47"/>
    <w:rsid w:val="002C047C"/>
    <w:rsid w:val="002C3373"/>
    <w:rsid w:val="002E58A3"/>
    <w:rsid w:val="0030281F"/>
    <w:rsid w:val="00302AA3"/>
    <w:rsid w:val="003154EB"/>
    <w:rsid w:val="0033485F"/>
    <w:rsid w:val="00344857"/>
    <w:rsid w:val="00351818"/>
    <w:rsid w:val="003646FD"/>
    <w:rsid w:val="003708FC"/>
    <w:rsid w:val="00382C38"/>
    <w:rsid w:val="00385D7C"/>
    <w:rsid w:val="00387BB5"/>
    <w:rsid w:val="0039048A"/>
    <w:rsid w:val="00396D46"/>
    <w:rsid w:val="00397F17"/>
    <w:rsid w:val="003A7BBA"/>
    <w:rsid w:val="003B3F21"/>
    <w:rsid w:val="003B7AD3"/>
    <w:rsid w:val="003E5474"/>
    <w:rsid w:val="004046B9"/>
    <w:rsid w:val="00407386"/>
    <w:rsid w:val="004225DF"/>
    <w:rsid w:val="0045754B"/>
    <w:rsid w:val="00463485"/>
    <w:rsid w:val="00483578"/>
    <w:rsid w:val="00492E4F"/>
    <w:rsid w:val="004948DB"/>
    <w:rsid w:val="004A2AA0"/>
    <w:rsid w:val="004D1123"/>
    <w:rsid w:val="004E529B"/>
    <w:rsid w:val="004F618B"/>
    <w:rsid w:val="00500E9F"/>
    <w:rsid w:val="00500F3B"/>
    <w:rsid w:val="005025CA"/>
    <w:rsid w:val="005076D1"/>
    <w:rsid w:val="00522573"/>
    <w:rsid w:val="00524B55"/>
    <w:rsid w:val="0054666D"/>
    <w:rsid w:val="00551987"/>
    <w:rsid w:val="00575480"/>
    <w:rsid w:val="00580101"/>
    <w:rsid w:val="00581257"/>
    <w:rsid w:val="005973B5"/>
    <w:rsid w:val="005B2F5B"/>
    <w:rsid w:val="005C3A2D"/>
    <w:rsid w:val="005C3DF8"/>
    <w:rsid w:val="005C72BE"/>
    <w:rsid w:val="005E23C9"/>
    <w:rsid w:val="005F0A68"/>
    <w:rsid w:val="006068D7"/>
    <w:rsid w:val="0061053B"/>
    <w:rsid w:val="006154AA"/>
    <w:rsid w:val="006320A8"/>
    <w:rsid w:val="00633382"/>
    <w:rsid w:val="00635582"/>
    <w:rsid w:val="0064285E"/>
    <w:rsid w:val="00644BE8"/>
    <w:rsid w:val="006459DC"/>
    <w:rsid w:val="00685357"/>
    <w:rsid w:val="00685A84"/>
    <w:rsid w:val="00687C41"/>
    <w:rsid w:val="006A1D50"/>
    <w:rsid w:val="006B7A4C"/>
    <w:rsid w:val="006C5423"/>
    <w:rsid w:val="006D0EBA"/>
    <w:rsid w:val="006E22F8"/>
    <w:rsid w:val="00710F2F"/>
    <w:rsid w:val="00726E08"/>
    <w:rsid w:val="00737259"/>
    <w:rsid w:val="00737F3E"/>
    <w:rsid w:val="00741BAF"/>
    <w:rsid w:val="00763095"/>
    <w:rsid w:val="007A1A2E"/>
    <w:rsid w:val="007B2663"/>
    <w:rsid w:val="007D1C14"/>
    <w:rsid w:val="007E1C8F"/>
    <w:rsid w:val="007E534A"/>
    <w:rsid w:val="007E5B66"/>
    <w:rsid w:val="007F3F1C"/>
    <w:rsid w:val="0081437B"/>
    <w:rsid w:val="00824F99"/>
    <w:rsid w:val="00837973"/>
    <w:rsid w:val="00856AAC"/>
    <w:rsid w:val="00857350"/>
    <w:rsid w:val="008575DB"/>
    <w:rsid w:val="008A6A7A"/>
    <w:rsid w:val="008D2C18"/>
    <w:rsid w:val="008D63D5"/>
    <w:rsid w:val="008E36EF"/>
    <w:rsid w:val="008E529D"/>
    <w:rsid w:val="00910E33"/>
    <w:rsid w:val="0091222A"/>
    <w:rsid w:val="009213B5"/>
    <w:rsid w:val="00924FCE"/>
    <w:rsid w:val="009272EB"/>
    <w:rsid w:val="00937C93"/>
    <w:rsid w:val="00947352"/>
    <w:rsid w:val="009701B9"/>
    <w:rsid w:val="00976B52"/>
    <w:rsid w:val="00981A09"/>
    <w:rsid w:val="00984102"/>
    <w:rsid w:val="009A11C9"/>
    <w:rsid w:val="009D7744"/>
    <w:rsid w:val="009E2B0A"/>
    <w:rsid w:val="009F2F8D"/>
    <w:rsid w:val="009F5863"/>
    <w:rsid w:val="00A30C27"/>
    <w:rsid w:val="00A33F1E"/>
    <w:rsid w:val="00A832B5"/>
    <w:rsid w:val="00A9140D"/>
    <w:rsid w:val="00A97965"/>
    <w:rsid w:val="00AF1A37"/>
    <w:rsid w:val="00B02318"/>
    <w:rsid w:val="00B04F8D"/>
    <w:rsid w:val="00B1046C"/>
    <w:rsid w:val="00B12884"/>
    <w:rsid w:val="00B1798B"/>
    <w:rsid w:val="00B258B4"/>
    <w:rsid w:val="00B50026"/>
    <w:rsid w:val="00B548EC"/>
    <w:rsid w:val="00B62CAE"/>
    <w:rsid w:val="00B8312E"/>
    <w:rsid w:val="00B86129"/>
    <w:rsid w:val="00B86E1F"/>
    <w:rsid w:val="00B900D7"/>
    <w:rsid w:val="00B91F1C"/>
    <w:rsid w:val="00B94302"/>
    <w:rsid w:val="00BA55AB"/>
    <w:rsid w:val="00BD0366"/>
    <w:rsid w:val="00BD1859"/>
    <w:rsid w:val="00BD253A"/>
    <w:rsid w:val="00BE1ADB"/>
    <w:rsid w:val="00BF77FB"/>
    <w:rsid w:val="00C00639"/>
    <w:rsid w:val="00C0175F"/>
    <w:rsid w:val="00C03BA0"/>
    <w:rsid w:val="00C07DAB"/>
    <w:rsid w:val="00C20A04"/>
    <w:rsid w:val="00C24405"/>
    <w:rsid w:val="00C53825"/>
    <w:rsid w:val="00C56C33"/>
    <w:rsid w:val="00C665EB"/>
    <w:rsid w:val="00C73480"/>
    <w:rsid w:val="00C80970"/>
    <w:rsid w:val="00C8111D"/>
    <w:rsid w:val="00C94AB3"/>
    <w:rsid w:val="00C94B4E"/>
    <w:rsid w:val="00CA0066"/>
    <w:rsid w:val="00CA611D"/>
    <w:rsid w:val="00CB26E7"/>
    <w:rsid w:val="00CB5356"/>
    <w:rsid w:val="00CC45B6"/>
    <w:rsid w:val="00CF666D"/>
    <w:rsid w:val="00D04EE8"/>
    <w:rsid w:val="00D1054C"/>
    <w:rsid w:val="00D1441B"/>
    <w:rsid w:val="00D151AE"/>
    <w:rsid w:val="00D17F1F"/>
    <w:rsid w:val="00D41A56"/>
    <w:rsid w:val="00D52945"/>
    <w:rsid w:val="00D57F17"/>
    <w:rsid w:val="00D65732"/>
    <w:rsid w:val="00D80086"/>
    <w:rsid w:val="00D84B54"/>
    <w:rsid w:val="00D951A4"/>
    <w:rsid w:val="00D955C6"/>
    <w:rsid w:val="00DB57D6"/>
    <w:rsid w:val="00DB75D6"/>
    <w:rsid w:val="00DE1B48"/>
    <w:rsid w:val="00DE247E"/>
    <w:rsid w:val="00DE3409"/>
    <w:rsid w:val="00E008B8"/>
    <w:rsid w:val="00E03893"/>
    <w:rsid w:val="00E03D45"/>
    <w:rsid w:val="00E04F24"/>
    <w:rsid w:val="00E10654"/>
    <w:rsid w:val="00E14628"/>
    <w:rsid w:val="00E23DAC"/>
    <w:rsid w:val="00E44E5D"/>
    <w:rsid w:val="00E527AD"/>
    <w:rsid w:val="00E70F9A"/>
    <w:rsid w:val="00E8641C"/>
    <w:rsid w:val="00EA21F0"/>
    <w:rsid w:val="00EB1D2A"/>
    <w:rsid w:val="00EB2DE2"/>
    <w:rsid w:val="00EB4C49"/>
    <w:rsid w:val="00EC4292"/>
    <w:rsid w:val="00EE04DD"/>
    <w:rsid w:val="00EE155A"/>
    <w:rsid w:val="00F03982"/>
    <w:rsid w:val="00F04A8E"/>
    <w:rsid w:val="00F16529"/>
    <w:rsid w:val="00F24E50"/>
    <w:rsid w:val="00F43E3E"/>
    <w:rsid w:val="00F603CF"/>
    <w:rsid w:val="00F65F0B"/>
    <w:rsid w:val="00F66292"/>
    <w:rsid w:val="00F668D0"/>
    <w:rsid w:val="00FA03F5"/>
    <w:rsid w:val="00FB417D"/>
    <w:rsid w:val="00FC33CB"/>
    <w:rsid w:val="00FF18BF"/>
    <w:rsid w:val="06D34C13"/>
    <w:rsid w:val="24B621FE"/>
    <w:rsid w:val="4BD25D30"/>
    <w:rsid w:val="744609F6"/>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D2DCB3A"/>
  <w15:chartTrackingRefBased/>
  <w15:docId w15:val="{41C80BE2-87A8-4597-810A-9BC55B0928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Times New Roman" w:hAnsi="Calibri" w:cs="Times New Roman"/>
        <w:lang w:val="en-GB"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0"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646FD"/>
    <w:rPr>
      <w:rFonts w:ascii="Arial" w:hAnsi="Arial"/>
      <w:sz w:val="24"/>
      <w:szCs w:val="24"/>
      <w:lang w:eastAsia="en-US"/>
    </w:rPr>
  </w:style>
  <w:style w:type="paragraph" w:styleId="Heading1">
    <w:name w:val="heading 1"/>
    <w:basedOn w:val="Normal"/>
    <w:next w:val="Normal"/>
    <w:link w:val="Heading1Char"/>
    <w:uiPriority w:val="9"/>
    <w:qFormat/>
    <w:rsid w:val="00B900D7"/>
    <w:pPr>
      <w:keepNext/>
      <w:spacing w:before="240" w:after="60"/>
      <w:outlineLvl w:val="0"/>
    </w:pPr>
    <w:rPr>
      <w:rFonts w:ascii="Cambria" w:hAnsi="Cambria"/>
      <w:b/>
      <w:bCs/>
      <w:kern w:val="32"/>
      <w:sz w:val="32"/>
      <w:szCs w:val="32"/>
      <w:lang w:val="x-none"/>
    </w:rPr>
  </w:style>
  <w:style w:type="paragraph" w:styleId="Heading2">
    <w:name w:val="heading 2"/>
    <w:basedOn w:val="Normal"/>
    <w:next w:val="Normal"/>
    <w:link w:val="Heading2Char"/>
    <w:uiPriority w:val="9"/>
    <w:qFormat/>
    <w:rsid w:val="003646FD"/>
    <w:pPr>
      <w:keepNext/>
      <w:outlineLvl w:val="1"/>
    </w:pPr>
    <w:rPr>
      <w:b/>
      <w:bCs/>
      <w:color w:val="808080"/>
      <w:lang w:val="x-none"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link w:val="Heading2"/>
    <w:uiPriority w:val="9"/>
    <w:semiHidden/>
    <w:locked/>
    <w:rsid w:val="003646FD"/>
    <w:rPr>
      <w:rFonts w:ascii="Arial" w:hAnsi="Arial" w:cs="Times New Roman"/>
      <w:b/>
      <w:bCs/>
      <w:color w:val="808080"/>
      <w:sz w:val="24"/>
      <w:szCs w:val="24"/>
    </w:rPr>
  </w:style>
  <w:style w:type="character" w:styleId="Hyperlink">
    <w:name w:val="Hyperlink"/>
    <w:uiPriority w:val="99"/>
    <w:unhideWhenUsed/>
    <w:rsid w:val="003646FD"/>
    <w:rPr>
      <w:rFonts w:cs="Times New Roman"/>
      <w:color w:val="0000FF"/>
      <w:u w:val="single"/>
    </w:rPr>
  </w:style>
  <w:style w:type="paragraph" w:customStyle="1" w:styleId="BodyCopy">
    <w:name w:val="Body Copy"/>
    <w:basedOn w:val="Normal"/>
    <w:rsid w:val="003646FD"/>
    <w:pPr>
      <w:spacing w:before="120" w:after="120" w:line="360" w:lineRule="auto"/>
      <w:jc w:val="both"/>
    </w:pPr>
  </w:style>
  <w:style w:type="paragraph" w:customStyle="1" w:styleId="Introduction">
    <w:name w:val="Introduction"/>
    <w:basedOn w:val="Normal"/>
    <w:rsid w:val="003646FD"/>
    <w:pPr>
      <w:spacing w:before="120" w:after="120" w:line="360" w:lineRule="auto"/>
      <w:jc w:val="both"/>
    </w:pPr>
    <w:rPr>
      <w:b/>
      <w:bCs/>
    </w:rPr>
  </w:style>
  <w:style w:type="paragraph" w:styleId="BalloonText">
    <w:name w:val="Balloon Text"/>
    <w:basedOn w:val="Normal"/>
    <w:link w:val="BalloonTextChar"/>
    <w:uiPriority w:val="99"/>
    <w:semiHidden/>
    <w:unhideWhenUsed/>
    <w:rsid w:val="003646FD"/>
    <w:rPr>
      <w:rFonts w:ascii="Tahoma" w:hAnsi="Tahoma"/>
      <w:sz w:val="16"/>
      <w:szCs w:val="16"/>
      <w:lang w:eastAsia="x-none"/>
    </w:rPr>
  </w:style>
  <w:style w:type="character" w:customStyle="1" w:styleId="BalloonTextChar">
    <w:name w:val="Balloon Text Char"/>
    <w:link w:val="BalloonText"/>
    <w:uiPriority w:val="99"/>
    <w:semiHidden/>
    <w:locked/>
    <w:rsid w:val="003646FD"/>
    <w:rPr>
      <w:rFonts w:ascii="Tahoma" w:hAnsi="Tahoma" w:cs="Tahoma"/>
      <w:sz w:val="16"/>
      <w:szCs w:val="16"/>
      <w:lang w:val="en-GB" w:eastAsia="x-none"/>
    </w:rPr>
  </w:style>
  <w:style w:type="paragraph" w:styleId="NormalWeb">
    <w:name w:val="Normal (Web)"/>
    <w:basedOn w:val="Normal"/>
    <w:unhideWhenUsed/>
    <w:rsid w:val="003646FD"/>
    <w:pPr>
      <w:spacing w:before="100" w:beforeAutospacing="1" w:after="100" w:afterAutospacing="1"/>
    </w:pPr>
    <w:rPr>
      <w:rFonts w:ascii="Times New Roman" w:hAnsi="Times New Roman"/>
      <w:lang w:val="en-US"/>
    </w:rPr>
  </w:style>
  <w:style w:type="character" w:customStyle="1" w:styleId="label">
    <w:name w:val="label"/>
    <w:rsid w:val="003646FD"/>
    <w:rPr>
      <w:rFonts w:cs="Times New Roman"/>
    </w:rPr>
  </w:style>
  <w:style w:type="character" w:customStyle="1" w:styleId="detail">
    <w:name w:val="detail"/>
    <w:rsid w:val="003646FD"/>
    <w:rPr>
      <w:rFonts w:cs="Times New Roman"/>
    </w:rPr>
  </w:style>
  <w:style w:type="character" w:customStyle="1" w:styleId="apple-style-span">
    <w:name w:val="apple-style-span"/>
    <w:rsid w:val="00726E08"/>
    <w:rPr>
      <w:rFonts w:cs="Times New Roman"/>
    </w:rPr>
  </w:style>
  <w:style w:type="character" w:styleId="FollowedHyperlink">
    <w:name w:val="FollowedHyperlink"/>
    <w:uiPriority w:val="99"/>
    <w:semiHidden/>
    <w:unhideWhenUsed/>
    <w:rsid w:val="00EE04DD"/>
    <w:rPr>
      <w:color w:val="800080"/>
      <w:u w:val="single"/>
    </w:rPr>
  </w:style>
  <w:style w:type="character" w:customStyle="1" w:styleId="Heading1Char">
    <w:name w:val="Heading 1 Char"/>
    <w:link w:val="Heading1"/>
    <w:uiPriority w:val="9"/>
    <w:rsid w:val="00B900D7"/>
    <w:rPr>
      <w:rFonts w:ascii="Cambria" w:eastAsia="Times New Roman" w:hAnsi="Cambria" w:cs="Times New Roman"/>
      <w:b/>
      <w:bCs/>
      <w:kern w:val="32"/>
      <w:sz w:val="32"/>
      <w:szCs w:val="32"/>
      <w:lang w:eastAsia="en-US"/>
    </w:rPr>
  </w:style>
  <w:style w:type="character" w:styleId="Strong">
    <w:name w:val="Strong"/>
    <w:uiPriority w:val="22"/>
    <w:qFormat/>
    <w:rsid w:val="00E008B8"/>
    <w:rPr>
      <w:b/>
      <w:bCs/>
    </w:rPr>
  </w:style>
  <w:style w:type="paragraph" w:customStyle="1" w:styleId="intro">
    <w:name w:val="intro"/>
    <w:basedOn w:val="Normal"/>
    <w:rsid w:val="00E008B8"/>
    <w:pPr>
      <w:spacing w:before="100" w:beforeAutospacing="1" w:after="100" w:afterAutospacing="1"/>
    </w:pPr>
    <w:rPr>
      <w:rFonts w:ascii="Times New Roman" w:hAnsi="Times New Roman"/>
      <w:lang w:eastAsia="en-GB"/>
    </w:rPr>
  </w:style>
  <w:style w:type="character" w:customStyle="1" w:styleId="apple-converted-space">
    <w:name w:val="apple-converted-space"/>
    <w:basedOn w:val="DefaultParagraphFont"/>
    <w:rsid w:val="004948DB"/>
  </w:style>
  <w:style w:type="paragraph" w:styleId="Header">
    <w:name w:val="header"/>
    <w:basedOn w:val="Normal"/>
    <w:link w:val="HeaderChar"/>
    <w:uiPriority w:val="99"/>
    <w:unhideWhenUsed/>
    <w:rsid w:val="00C0175F"/>
    <w:pPr>
      <w:tabs>
        <w:tab w:val="center" w:pos="4513"/>
        <w:tab w:val="right" w:pos="9026"/>
      </w:tabs>
    </w:pPr>
    <w:rPr>
      <w:lang w:val="x-none"/>
    </w:rPr>
  </w:style>
  <w:style w:type="character" w:customStyle="1" w:styleId="HeaderChar">
    <w:name w:val="Header Char"/>
    <w:link w:val="Header"/>
    <w:uiPriority w:val="99"/>
    <w:rsid w:val="00C0175F"/>
    <w:rPr>
      <w:rFonts w:ascii="Arial" w:hAnsi="Arial"/>
      <w:sz w:val="24"/>
      <w:szCs w:val="24"/>
      <w:lang w:eastAsia="en-US"/>
    </w:rPr>
  </w:style>
  <w:style w:type="paragraph" w:styleId="Footer">
    <w:name w:val="footer"/>
    <w:basedOn w:val="Normal"/>
    <w:link w:val="FooterChar"/>
    <w:uiPriority w:val="99"/>
    <w:unhideWhenUsed/>
    <w:rsid w:val="00C0175F"/>
    <w:pPr>
      <w:tabs>
        <w:tab w:val="center" w:pos="4513"/>
        <w:tab w:val="right" w:pos="9026"/>
      </w:tabs>
    </w:pPr>
    <w:rPr>
      <w:lang w:val="x-none"/>
    </w:rPr>
  </w:style>
  <w:style w:type="character" w:customStyle="1" w:styleId="FooterChar">
    <w:name w:val="Footer Char"/>
    <w:link w:val="Footer"/>
    <w:uiPriority w:val="99"/>
    <w:rsid w:val="00C0175F"/>
    <w:rPr>
      <w:rFonts w:ascii="Arial" w:hAnsi="Arial"/>
      <w:sz w:val="24"/>
      <w:szCs w:val="24"/>
      <w:lang w:eastAsia="en-US"/>
    </w:rPr>
  </w:style>
  <w:style w:type="paragraph" w:customStyle="1" w:styleId="wp-body-text---col-p">
    <w:name w:val="wp-body-text---col-p"/>
    <w:basedOn w:val="Normal"/>
    <w:rsid w:val="005076D1"/>
    <w:pPr>
      <w:spacing w:before="100" w:beforeAutospacing="1" w:after="100" w:afterAutospacing="1"/>
    </w:pPr>
    <w:rPr>
      <w:rFonts w:ascii="Times New Roman" w:hAnsi="Times New Roman"/>
      <w:lang w:eastAsia="en-GB"/>
    </w:rPr>
  </w:style>
  <w:style w:type="character" w:customStyle="1" w:styleId="body-text---col-c-c0">
    <w:name w:val="body-text---col-c-c0"/>
    <w:rsid w:val="005076D1"/>
  </w:style>
  <w:style w:type="character" w:styleId="UnresolvedMention">
    <w:name w:val="Unresolved Mention"/>
    <w:uiPriority w:val="99"/>
    <w:semiHidden/>
    <w:unhideWhenUsed/>
    <w:rsid w:val="008A6A7A"/>
    <w:rPr>
      <w:color w:val="605E5C"/>
      <w:shd w:val="clear" w:color="auto" w:fill="E1DFDD"/>
    </w:rPr>
  </w:style>
  <w:style w:type="character" w:styleId="Emphasis">
    <w:name w:val="Emphasis"/>
    <w:uiPriority w:val="20"/>
    <w:qFormat/>
    <w:rsid w:val="00DE3409"/>
    <w:rPr>
      <w:i/>
      <w:iCs/>
    </w:rPr>
  </w:style>
  <w:style w:type="character" w:customStyle="1" w:styleId="fragmenttag">
    <w:name w:val="fragment__tag"/>
    <w:rsid w:val="009213B5"/>
  </w:style>
  <w:style w:type="paragraph" w:customStyle="1" w:styleId="size-xxxl">
    <w:name w:val="size-xxxl"/>
    <w:basedOn w:val="Normal"/>
    <w:rsid w:val="009213B5"/>
    <w:pPr>
      <w:spacing w:before="100" w:beforeAutospacing="1" w:after="100" w:afterAutospacing="1"/>
    </w:pPr>
    <w:rPr>
      <w:rFonts w:ascii="Times New Roman" w:hAnsi="Times New Roman"/>
      <w:lang w:eastAsia="en-GB"/>
    </w:rPr>
  </w:style>
  <w:style w:type="paragraph" w:customStyle="1" w:styleId="size-xl">
    <w:name w:val="size-xl"/>
    <w:basedOn w:val="Normal"/>
    <w:rsid w:val="009213B5"/>
    <w:pPr>
      <w:spacing w:before="100" w:beforeAutospacing="1" w:after="100" w:afterAutospacing="1"/>
    </w:pPr>
    <w:rPr>
      <w:rFonts w:ascii="Times New Roman" w:hAnsi="Times New Roman"/>
      <w:lang w:eastAsia="en-GB"/>
    </w:rPr>
  </w:style>
  <w:style w:type="character" w:styleId="CommentReference">
    <w:name w:val="annotation reference"/>
    <w:rsid w:val="000245BC"/>
    <w:rPr>
      <w:sz w:val="16"/>
      <w:szCs w:val="16"/>
    </w:rPr>
  </w:style>
  <w:style w:type="paragraph" w:styleId="CommentText">
    <w:name w:val="annotation text"/>
    <w:basedOn w:val="Normal"/>
    <w:link w:val="CommentTextChar"/>
    <w:rsid w:val="000245BC"/>
    <w:pPr>
      <w:suppressAutoHyphens/>
      <w:autoSpaceDN w:val="0"/>
      <w:spacing w:after="160"/>
      <w:textAlignment w:val="baseline"/>
    </w:pPr>
    <w:rPr>
      <w:rFonts w:ascii="Calibri" w:eastAsia="Calibri" w:hAnsi="Calibri"/>
      <w:sz w:val="20"/>
      <w:szCs w:val="20"/>
    </w:rPr>
  </w:style>
  <w:style w:type="character" w:customStyle="1" w:styleId="CommentTextChar">
    <w:name w:val="Comment Text Char"/>
    <w:link w:val="CommentText"/>
    <w:rsid w:val="000245BC"/>
    <w:rPr>
      <w:rFonts w:eastAsia="Calibri"/>
      <w:lang w:eastAsia="en-US"/>
    </w:rPr>
  </w:style>
  <w:style w:type="paragraph" w:styleId="Revision">
    <w:name w:val="Revision"/>
    <w:hidden/>
    <w:uiPriority w:val="99"/>
    <w:semiHidden/>
    <w:rsid w:val="00937C93"/>
    <w:rPr>
      <w:rFonts w:ascii="Arial" w:hAnsi="Arial"/>
      <w:sz w:val="24"/>
      <w:szCs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374296">
      <w:marLeft w:val="0"/>
      <w:marRight w:val="0"/>
      <w:marTop w:val="0"/>
      <w:marBottom w:val="0"/>
      <w:divBdr>
        <w:top w:val="none" w:sz="0" w:space="0" w:color="auto"/>
        <w:left w:val="none" w:sz="0" w:space="0" w:color="auto"/>
        <w:bottom w:val="none" w:sz="0" w:space="0" w:color="auto"/>
        <w:right w:val="none" w:sz="0" w:space="0" w:color="auto"/>
      </w:divBdr>
    </w:div>
    <w:div w:id="9374299">
      <w:marLeft w:val="0"/>
      <w:marRight w:val="0"/>
      <w:marTop w:val="0"/>
      <w:marBottom w:val="0"/>
      <w:divBdr>
        <w:top w:val="none" w:sz="0" w:space="0" w:color="auto"/>
        <w:left w:val="none" w:sz="0" w:space="0" w:color="auto"/>
        <w:bottom w:val="none" w:sz="0" w:space="0" w:color="auto"/>
        <w:right w:val="none" w:sz="0" w:space="0" w:color="auto"/>
      </w:divBdr>
    </w:div>
    <w:div w:id="9374300">
      <w:marLeft w:val="0"/>
      <w:marRight w:val="0"/>
      <w:marTop w:val="0"/>
      <w:marBottom w:val="0"/>
      <w:divBdr>
        <w:top w:val="none" w:sz="0" w:space="0" w:color="auto"/>
        <w:left w:val="none" w:sz="0" w:space="0" w:color="auto"/>
        <w:bottom w:val="none" w:sz="0" w:space="0" w:color="auto"/>
        <w:right w:val="none" w:sz="0" w:space="0" w:color="auto"/>
      </w:divBdr>
      <w:divsChild>
        <w:div w:id="9374293">
          <w:marLeft w:val="0"/>
          <w:marRight w:val="0"/>
          <w:marTop w:val="0"/>
          <w:marBottom w:val="0"/>
          <w:divBdr>
            <w:top w:val="none" w:sz="0" w:space="0" w:color="auto"/>
            <w:left w:val="none" w:sz="0" w:space="0" w:color="auto"/>
            <w:bottom w:val="none" w:sz="0" w:space="0" w:color="auto"/>
            <w:right w:val="none" w:sz="0" w:space="0" w:color="auto"/>
          </w:divBdr>
          <w:divsChild>
            <w:div w:id="9374292">
              <w:marLeft w:val="0"/>
              <w:marRight w:val="0"/>
              <w:marTop w:val="0"/>
              <w:marBottom w:val="0"/>
              <w:divBdr>
                <w:top w:val="none" w:sz="0" w:space="0" w:color="auto"/>
                <w:left w:val="none" w:sz="0" w:space="0" w:color="auto"/>
                <w:bottom w:val="none" w:sz="0" w:space="0" w:color="auto"/>
                <w:right w:val="none" w:sz="0" w:space="0" w:color="auto"/>
              </w:divBdr>
            </w:div>
            <w:div w:id="9374294">
              <w:marLeft w:val="0"/>
              <w:marRight w:val="0"/>
              <w:marTop w:val="0"/>
              <w:marBottom w:val="0"/>
              <w:divBdr>
                <w:top w:val="none" w:sz="0" w:space="0" w:color="auto"/>
                <w:left w:val="none" w:sz="0" w:space="0" w:color="auto"/>
                <w:bottom w:val="none" w:sz="0" w:space="0" w:color="auto"/>
                <w:right w:val="none" w:sz="0" w:space="0" w:color="auto"/>
              </w:divBdr>
            </w:div>
            <w:div w:id="9374295">
              <w:marLeft w:val="0"/>
              <w:marRight w:val="0"/>
              <w:marTop w:val="0"/>
              <w:marBottom w:val="0"/>
              <w:divBdr>
                <w:top w:val="none" w:sz="0" w:space="0" w:color="auto"/>
                <w:left w:val="none" w:sz="0" w:space="0" w:color="auto"/>
                <w:bottom w:val="none" w:sz="0" w:space="0" w:color="auto"/>
                <w:right w:val="none" w:sz="0" w:space="0" w:color="auto"/>
              </w:divBdr>
            </w:div>
            <w:div w:id="9374297">
              <w:marLeft w:val="0"/>
              <w:marRight w:val="0"/>
              <w:marTop w:val="0"/>
              <w:marBottom w:val="0"/>
              <w:divBdr>
                <w:top w:val="none" w:sz="0" w:space="0" w:color="auto"/>
                <w:left w:val="none" w:sz="0" w:space="0" w:color="auto"/>
                <w:bottom w:val="none" w:sz="0" w:space="0" w:color="auto"/>
                <w:right w:val="none" w:sz="0" w:space="0" w:color="auto"/>
              </w:divBdr>
            </w:div>
          </w:divsChild>
        </w:div>
        <w:div w:id="9374298">
          <w:marLeft w:val="0"/>
          <w:marRight w:val="0"/>
          <w:marTop w:val="0"/>
          <w:marBottom w:val="0"/>
          <w:divBdr>
            <w:top w:val="none" w:sz="0" w:space="0" w:color="auto"/>
            <w:left w:val="none" w:sz="0" w:space="0" w:color="auto"/>
            <w:bottom w:val="none" w:sz="0" w:space="0" w:color="auto"/>
            <w:right w:val="none" w:sz="0" w:space="0" w:color="auto"/>
          </w:divBdr>
        </w:div>
      </w:divsChild>
    </w:div>
    <w:div w:id="41054483">
      <w:bodyDiv w:val="1"/>
      <w:marLeft w:val="0"/>
      <w:marRight w:val="0"/>
      <w:marTop w:val="0"/>
      <w:marBottom w:val="0"/>
      <w:divBdr>
        <w:top w:val="none" w:sz="0" w:space="0" w:color="auto"/>
        <w:left w:val="none" w:sz="0" w:space="0" w:color="auto"/>
        <w:bottom w:val="none" w:sz="0" w:space="0" w:color="auto"/>
        <w:right w:val="none" w:sz="0" w:space="0" w:color="auto"/>
      </w:divBdr>
    </w:div>
    <w:div w:id="70201264">
      <w:bodyDiv w:val="1"/>
      <w:marLeft w:val="0"/>
      <w:marRight w:val="0"/>
      <w:marTop w:val="0"/>
      <w:marBottom w:val="0"/>
      <w:divBdr>
        <w:top w:val="none" w:sz="0" w:space="0" w:color="auto"/>
        <w:left w:val="none" w:sz="0" w:space="0" w:color="auto"/>
        <w:bottom w:val="none" w:sz="0" w:space="0" w:color="auto"/>
        <w:right w:val="none" w:sz="0" w:space="0" w:color="auto"/>
      </w:divBdr>
    </w:div>
    <w:div w:id="197740727">
      <w:bodyDiv w:val="1"/>
      <w:marLeft w:val="0"/>
      <w:marRight w:val="0"/>
      <w:marTop w:val="0"/>
      <w:marBottom w:val="0"/>
      <w:divBdr>
        <w:top w:val="none" w:sz="0" w:space="0" w:color="auto"/>
        <w:left w:val="none" w:sz="0" w:space="0" w:color="auto"/>
        <w:bottom w:val="none" w:sz="0" w:space="0" w:color="auto"/>
        <w:right w:val="none" w:sz="0" w:space="0" w:color="auto"/>
      </w:divBdr>
    </w:div>
    <w:div w:id="376927611">
      <w:bodyDiv w:val="1"/>
      <w:marLeft w:val="0"/>
      <w:marRight w:val="0"/>
      <w:marTop w:val="0"/>
      <w:marBottom w:val="0"/>
      <w:divBdr>
        <w:top w:val="none" w:sz="0" w:space="0" w:color="auto"/>
        <w:left w:val="none" w:sz="0" w:space="0" w:color="auto"/>
        <w:bottom w:val="none" w:sz="0" w:space="0" w:color="auto"/>
        <w:right w:val="none" w:sz="0" w:space="0" w:color="auto"/>
      </w:divBdr>
    </w:div>
    <w:div w:id="595946097">
      <w:bodyDiv w:val="1"/>
      <w:marLeft w:val="0"/>
      <w:marRight w:val="0"/>
      <w:marTop w:val="0"/>
      <w:marBottom w:val="0"/>
      <w:divBdr>
        <w:top w:val="none" w:sz="0" w:space="0" w:color="auto"/>
        <w:left w:val="none" w:sz="0" w:space="0" w:color="auto"/>
        <w:bottom w:val="none" w:sz="0" w:space="0" w:color="auto"/>
        <w:right w:val="none" w:sz="0" w:space="0" w:color="auto"/>
      </w:divBdr>
      <w:divsChild>
        <w:div w:id="813253117">
          <w:marLeft w:val="0"/>
          <w:marRight w:val="0"/>
          <w:marTop w:val="0"/>
          <w:marBottom w:val="0"/>
          <w:divBdr>
            <w:top w:val="none" w:sz="0" w:space="0" w:color="auto"/>
            <w:left w:val="none" w:sz="0" w:space="0" w:color="auto"/>
            <w:bottom w:val="none" w:sz="0" w:space="0" w:color="auto"/>
            <w:right w:val="none" w:sz="0" w:space="0" w:color="auto"/>
          </w:divBdr>
        </w:div>
        <w:div w:id="1821656240">
          <w:marLeft w:val="0"/>
          <w:marRight w:val="0"/>
          <w:marTop w:val="0"/>
          <w:marBottom w:val="630"/>
          <w:divBdr>
            <w:top w:val="single" w:sz="6" w:space="0" w:color="797874"/>
            <w:left w:val="none" w:sz="0" w:space="0" w:color="797874"/>
            <w:bottom w:val="single" w:sz="12" w:space="0" w:color="797874"/>
            <w:right w:val="none" w:sz="0" w:space="0" w:color="797874"/>
          </w:divBdr>
          <w:divsChild>
            <w:div w:id="1377243196">
              <w:marLeft w:val="0"/>
              <w:marRight w:val="0"/>
              <w:marTop w:val="0"/>
              <w:marBottom w:val="0"/>
              <w:divBdr>
                <w:top w:val="none" w:sz="0" w:space="0" w:color="auto"/>
                <w:left w:val="none" w:sz="0" w:space="0" w:color="auto"/>
                <w:bottom w:val="none" w:sz="0" w:space="0" w:color="auto"/>
                <w:right w:val="none" w:sz="0" w:space="0" w:color="auto"/>
              </w:divBdr>
              <w:divsChild>
                <w:div w:id="794717160">
                  <w:marLeft w:val="0"/>
                  <w:marRight w:val="0"/>
                  <w:marTop w:val="0"/>
                  <w:marBottom w:val="0"/>
                  <w:divBdr>
                    <w:top w:val="none" w:sz="0" w:space="0" w:color="auto"/>
                    <w:left w:val="none" w:sz="0" w:space="0" w:color="auto"/>
                    <w:bottom w:val="none" w:sz="0" w:space="0" w:color="auto"/>
                    <w:right w:val="none" w:sz="0" w:space="0" w:color="auto"/>
                  </w:divBdr>
                  <w:divsChild>
                    <w:div w:id="922228544">
                      <w:marLeft w:val="0"/>
                      <w:marRight w:val="0"/>
                      <w:marTop w:val="450"/>
                      <w:marBottom w:val="0"/>
                      <w:divBdr>
                        <w:top w:val="none" w:sz="0" w:space="0" w:color="auto"/>
                        <w:left w:val="none" w:sz="0" w:space="0" w:color="auto"/>
                        <w:bottom w:val="none" w:sz="0" w:space="0" w:color="auto"/>
                        <w:right w:val="none" w:sz="0" w:space="0" w:color="auto"/>
                      </w:divBdr>
                      <w:divsChild>
                        <w:div w:id="489515871">
                          <w:marLeft w:val="0"/>
                          <w:marRight w:val="0"/>
                          <w:marTop w:val="0"/>
                          <w:marBottom w:val="0"/>
                          <w:divBdr>
                            <w:top w:val="none" w:sz="0" w:space="0" w:color="auto"/>
                            <w:left w:val="none" w:sz="0" w:space="0" w:color="auto"/>
                            <w:bottom w:val="none" w:sz="0" w:space="0" w:color="auto"/>
                            <w:right w:val="none" w:sz="0" w:space="0" w:color="auto"/>
                          </w:divBdr>
                        </w:div>
                      </w:divsChild>
                    </w:div>
                    <w:div w:id="943000948">
                      <w:marLeft w:val="0"/>
                      <w:marRight w:val="0"/>
                      <w:marTop w:val="0"/>
                      <w:marBottom w:val="0"/>
                      <w:divBdr>
                        <w:top w:val="none" w:sz="0" w:space="0" w:color="auto"/>
                        <w:left w:val="none" w:sz="0" w:space="0" w:color="auto"/>
                        <w:bottom w:val="none" w:sz="0" w:space="0" w:color="auto"/>
                        <w:right w:val="none" w:sz="0" w:space="0" w:color="auto"/>
                      </w:divBdr>
                      <w:divsChild>
                        <w:div w:id="18978194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79375556">
      <w:bodyDiv w:val="1"/>
      <w:marLeft w:val="0"/>
      <w:marRight w:val="0"/>
      <w:marTop w:val="0"/>
      <w:marBottom w:val="0"/>
      <w:divBdr>
        <w:top w:val="none" w:sz="0" w:space="0" w:color="auto"/>
        <w:left w:val="none" w:sz="0" w:space="0" w:color="auto"/>
        <w:bottom w:val="none" w:sz="0" w:space="0" w:color="auto"/>
        <w:right w:val="none" w:sz="0" w:space="0" w:color="auto"/>
      </w:divBdr>
    </w:div>
    <w:div w:id="856582397">
      <w:bodyDiv w:val="1"/>
      <w:marLeft w:val="0"/>
      <w:marRight w:val="0"/>
      <w:marTop w:val="0"/>
      <w:marBottom w:val="0"/>
      <w:divBdr>
        <w:top w:val="none" w:sz="0" w:space="0" w:color="auto"/>
        <w:left w:val="none" w:sz="0" w:space="0" w:color="auto"/>
        <w:bottom w:val="none" w:sz="0" w:space="0" w:color="auto"/>
        <w:right w:val="none" w:sz="0" w:space="0" w:color="auto"/>
      </w:divBdr>
    </w:div>
    <w:div w:id="877938463">
      <w:bodyDiv w:val="1"/>
      <w:marLeft w:val="0"/>
      <w:marRight w:val="0"/>
      <w:marTop w:val="0"/>
      <w:marBottom w:val="0"/>
      <w:divBdr>
        <w:top w:val="none" w:sz="0" w:space="0" w:color="auto"/>
        <w:left w:val="none" w:sz="0" w:space="0" w:color="auto"/>
        <w:bottom w:val="none" w:sz="0" w:space="0" w:color="auto"/>
        <w:right w:val="none" w:sz="0" w:space="0" w:color="auto"/>
      </w:divBdr>
    </w:div>
    <w:div w:id="1377847697">
      <w:bodyDiv w:val="1"/>
      <w:marLeft w:val="0"/>
      <w:marRight w:val="0"/>
      <w:marTop w:val="0"/>
      <w:marBottom w:val="0"/>
      <w:divBdr>
        <w:top w:val="none" w:sz="0" w:space="0" w:color="auto"/>
        <w:left w:val="none" w:sz="0" w:space="0" w:color="auto"/>
        <w:bottom w:val="none" w:sz="0" w:space="0" w:color="auto"/>
        <w:right w:val="none" w:sz="0" w:space="0" w:color="auto"/>
      </w:divBdr>
    </w:div>
    <w:div w:id="1796749031">
      <w:bodyDiv w:val="1"/>
      <w:marLeft w:val="0"/>
      <w:marRight w:val="0"/>
      <w:marTop w:val="0"/>
      <w:marBottom w:val="0"/>
      <w:divBdr>
        <w:top w:val="none" w:sz="0" w:space="0" w:color="auto"/>
        <w:left w:val="none" w:sz="0" w:space="0" w:color="auto"/>
        <w:bottom w:val="none" w:sz="0" w:space="0" w:color="auto"/>
        <w:right w:val="none" w:sz="0" w:space="0" w:color="auto"/>
      </w:divBdr>
    </w:div>
    <w:div w:id="2041202843">
      <w:bodyDiv w:val="1"/>
      <w:marLeft w:val="0"/>
      <w:marRight w:val="0"/>
      <w:marTop w:val="0"/>
      <w:marBottom w:val="0"/>
      <w:divBdr>
        <w:top w:val="none" w:sz="0" w:space="0" w:color="auto"/>
        <w:left w:val="none" w:sz="0" w:space="0" w:color="auto"/>
        <w:bottom w:val="none" w:sz="0" w:space="0" w:color="auto"/>
        <w:right w:val="none" w:sz="0" w:space="0" w:color="auto"/>
      </w:divBdr>
    </w:div>
    <w:div w:id="20549657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www.weg.net/catalog/weg/US/en/Generation%2CTransmission-and-Distribution/Synchronous-Condensers/Synchronous-Condensers/p/MKT_WEM_SYN_CONDENSERS?utm_source=Stone+Junction&amp;utm_medium=Rotating_syncronous_monto&amp;utm_campaign=WEG1359&amp;utm_id=WEG1359&amp;utm_term=Commissioned_article&amp;utm_content=Earned" TargetMode="External"/><Relationship Id="rId18" Type="http://schemas.openxmlformats.org/officeDocument/2006/relationships/hyperlink" Target="http://www.weg.net" TargetMode="External"/><Relationship Id="rId26" Type="http://schemas.openxmlformats.org/officeDocument/2006/relationships/hyperlink" Target="http://www.weg.net" TargetMode="External"/><Relationship Id="rId3" Type="http://schemas.openxmlformats.org/officeDocument/2006/relationships/customXml" Target="../customXml/item3.xml"/><Relationship Id="rId21" Type="http://schemas.openxmlformats.org/officeDocument/2006/relationships/hyperlink" Target="mailto:stephanie@stonejunction.co.uk" TargetMode="External"/><Relationship Id="rId7" Type="http://schemas.openxmlformats.org/officeDocument/2006/relationships/webSettings" Target="webSettings.xml"/><Relationship Id="rId12" Type="http://schemas.openxmlformats.org/officeDocument/2006/relationships/hyperlink" Target="https://www2.deloitte.com/us/en/insights/industry/renewable-energy/renewable-energy-industry-outlook.html" TargetMode="External"/><Relationship Id="rId17" Type="http://schemas.openxmlformats.org/officeDocument/2006/relationships/hyperlink" Target="https://www.weg.net/institutional/MR/en/all-news/all" TargetMode="External"/><Relationship Id="rId25" Type="http://schemas.openxmlformats.org/officeDocument/2006/relationships/hyperlink" Target="https://www.linkedin.com/company/stone-junction-ltd" TargetMode="External"/><Relationship Id="rId2" Type="http://schemas.openxmlformats.org/officeDocument/2006/relationships/customXml" Target="../customXml/item2.xml"/><Relationship Id="rId16" Type="http://schemas.openxmlformats.org/officeDocument/2006/relationships/hyperlink" Target="https://www.weg.net/institutional/US/en/?utm_source=Stone+Junction&amp;utm_medium=Rotating_syncronous_monto&amp;utm_campaign=WEG1359&amp;utm_id=WEG1359&amp;utm_term=Commissioned_article&amp;utm_content=Earned" TargetMode="External"/><Relationship Id="rId20" Type="http://schemas.openxmlformats.org/officeDocument/2006/relationships/hyperlink" Target="mailto:encarna@stonejunction.co.uk" TargetMode="External"/><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weg.net/institutional/US/en/?utm_source=Stone+Junction&amp;utm_medium=Rotating_syncronous_monto&amp;utm_campaign=WEG1359&amp;utm_id=WEG1359&amp;utm_term=Commissioned_article&amp;utm_content=Earned" TargetMode="External"/><Relationship Id="rId24" Type="http://schemas.openxmlformats.org/officeDocument/2006/relationships/hyperlink" Target="http://www.facebook.com/technicalPR" TargetMode="External"/><Relationship Id="rId5" Type="http://schemas.openxmlformats.org/officeDocument/2006/relationships/styles" Target="styles.xml"/><Relationship Id="rId15" Type="http://schemas.openxmlformats.org/officeDocument/2006/relationships/hyperlink" Target="https://www.weg.net/bess?utm_source=Stone+Junction&amp;utm_medium=Opinion_piece&amp;utm_campaign=WEG1359&amp;utm_id=WEG1359&amp;utm_term=Rotating_synchronous_condenser+&amp;utm_content=Earned" TargetMode="External"/><Relationship Id="rId23" Type="http://schemas.openxmlformats.org/officeDocument/2006/relationships/hyperlink" Target="http://www.x.com/StoneJunctionPR" TargetMode="External"/><Relationship Id="rId28" Type="http://schemas.openxmlformats.org/officeDocument/2006/relationships/fontTable" Target="fontTable.xml"/><Relationship Id="rId10" Type="http://schemas.openxmlformats.org/officeDocument/2006/relationships/image" Target="media/image1.jpeg"/><Relationship Id="rId19" Type="http://schemas.openxmlformats.org/officeDocument/2006/relationships/hyperlink" Target="mailto:info-uk@weg.net"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weg.net/catalog/weg/US/en/Drives/Variable-Speed-Drives/c/GLOBAL_WDC_DRV_IF?utm_source=Stone+Junction&amp;utm_medium=Rotating_syncronous_monto&amp;utm_campaign=WEG1359&amp;utm_id=WEG1359&amp;utm_term=Commissioned_article&amp;utm_content=Earned" TargetMode="External"/><Relationship Id="rId22" Type="http://schemas.openxmlformats.org/officeDocument/2006/relationships/hyperlink" Target="http://www.wechangeminds.com" TargetMode="External"/><Relationship Id="rId27"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83137320-08c7-41f4-8e31-d7d186c713fc">
      <Terms xmlns="http://schemas.microsoft.com/office/infopath/2007/PartnerControls"/>
    </lcf76f155ced4ddcb4097134ff3c332f>
    <TaxCatchAll xmlns="57045ca7-eb12-4a0b-9112-d762b432b210"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6DB590B2C076D34293AC619A9DEC14B8" ma:contentTypeVersion="19" ma:contentTypeDescription="Create a new document." ma:contentTypeScope="" ma:versionID="ba4e9cbce5d9ec93585a17358d201d82">
  <xsd:schema xmlns:xsd="http://www.w3.org/2001/XMLSchema" xmlns:xs="http://www.w3.org/2001/XMLSchema" xmlns:p="http://schemas.microsoft.com/office/2006/metadata/properties" xmlns:ns2="83137320-08c7-41f4-8e31-d7d186c713fc" xmlns:ns3="57045ca7-eb12-4a0b-9112-d762b432b210" targetNamespace="http://schemas.microsoft.com/office/2006/metadata/properties" ma:root="true" ma:fieldsID="0cd73fe19c13e916cd059dc91e312b86" ns2:_="" ns3:_="">
    <xsd:import namespace="83137320-08c7-41f4-8e31-d7d186c713fc"/>
    <xsd:import namespace="57045ca7-eb12-4a0b-9112-d762b432b210"/>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KeyPoints" minOccurs="0"/>
                <xsd:element ref="ns2:MediaServiceKeyPoints" minOccurs="0"/>
                <xsd:element ref="ns2:MediaServiceAutoTags" minOccurs="0"/>
                <xsd:element ref="ns2:MediaServiceGenerationTime" minOccurs="0"/>
                <xsd:element ref="ns2:MediaServiceEventHashCode" minOccurs="0"/>
                <xsd:element ref="ns2:MediaServiceOCR" minOccurs="0"/>
                <xsd:element ref="ns2:MediaServiceLocation" minOccurs="0"/>
                <xsd:element ref="ns2:MediaLengthInSeconds" minOccurs="0"/>
                <xsd:element ref="ns3:SharedWithUsers" minOccurs="0"/>
                <xsd:element ref="ns3:SharedWithDetails" minOccurs="0"/>
                <xsd:element ref="ns2:lcf76f155ced4ddcb4097134ff3c332f" minOccurs="0"/>
                <xsd:element ref="ns3:TaxCatchAll"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3137320-08c7-41f4-8e31-d7d186c713f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KeyPoints" ma:index="11" nillable="true" ma:displayName="MediaServiceAutoKeyPoints" ma:hidden="true" ma:internalName="MediaServiceAutoKeyPoints" ma:readOnly="true">
      <xsd:simpleType>
        <xsd:restriction base="dms:Note"/>
      </xsd:simpleType>
    </xsd:element>
    <xsd:element name="MediaServiceKeyPoints" ma:index="12" nillable="true" ma:displayName="KeyPoints" ma:internalName="MediaServiceKeyPoints" ma:readOnly="true">
      <xsd:simpleType>
        <xsd:restriction base="dms:Note">
          <xsd:maxLength value="255"/>
        </xsd:restriction>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element name="MediaLengthInSeconds" ma:index="18"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c42d73ae-c86d-48f5-817e-1ea5624ba46b"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MediaServiceBillingMetadata" ma:index="26"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7045ca7-eb12-4a0b-9112-d762b432b210"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345489b6-b086-4647-ac7b-3ba5c666b1ab}" ma:internalName="TaxCatchAll" ma:showField="CatchAllData" ma:web="57045ca7-eb12-4a0b-9112-d762b432b21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5AF1FB19-CD7E-4E2F-9987-FFFA38A88A46}">
  <ds:schemaRefs>
    <ds:schemaRef ds:uri="http://schemas.microsoft.com/office/2006/metadata/properties"/>
    <ds:schemaRef ds:uri="http://schemas.microsoft.com/office/infopath/2007/PartnerControls"/>
    <ds:schemaRef ds:uri="83137320-08c7-41f4-8e31-d7d186c713fc"/>
    <ds:schemaRef ds:uri="57045ca7-eb12-4a0b-9112-d762b432b210"/>
  </ds:schemaRefs>
</ds:datastoreItem>
</file>

<file path=customXml/itemProps2.xml><?xml version="1.0" encoding="utf-8"?>
<ds:datastoreItem xmlns:ds="http://schemas.openxmlformats.org/officeDocument/2006/customXml" ds:itemID="{9671A216-631C-46F5-BA3A-9DF47FC12418}">
  <ds:schemaRefs>
    <ds:schemaRef ds:uri="http://schemas.microsoft.com/sharepoint/v3/contenttype/forms"/>
  </ds:schemaRefs>
</ds:datastoreItem>
</file>

<file path=customXml/itemProps3.xml><?xml version="1.0" encoding="utf-8"?>
<ds:datastoreItem xmlns:ds="http://schemas.openxmlformats.org/officeDocument/2006/customXml" ds:itemID="{E5F84AE0-CE00-43A5-8828-CB6FE22385A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3137320-08c7-41f4-8e31-d7d186c713fc"/>
    <ds:schemaRef ds:uri="57045ca7-eb12-4a0b-9112-d762b432b21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205</TotalTime>
  <Pages>7</Pages>
  <Words>1183</Words>
  <Characters>7533</Characters>
  <Application>Microsoft Office Word</Application>
  <DocSecurity>0</DocSecurity>
  <Lines>151</Lines>
  <Paragraphs>41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8693</CharactersWithSpaces>
  <SharedDoc>false</SharedDoc>
  <HLinks>
    <vt:vector size="96" baseType="variant">
      <vt:variant>
        <vt:i4>2162814</vt:i4>
      </vt:variant>
      <vt:variant>
        <vt:i4>45</vt:i4>
      </vt:variant>
      <vt:variant>
        <vt:i4>0</vt:i4>
      </vt:variant>
      <vt:variant>
        <vt:i4>5</vt:i4>
      </vt:variant>
      <vt:variant>
        <vt:lpwstr>http://www.weg.net/</vt:lpwstr>
      </vt:variant>
      <vt:variant>
        <vt:lpwstr/>
      </vt:variant>
      <vt:variant>
        <vt:i4>6750260</vt:i4>
      </vt:variant>
      <vt:variant>
        <vt:i4>42</vt:i4>
      </vt:variant>
      <vt:variant>
        <vt:i4>0</vt:i4>
      </vt:variant>
      <vt:variant>
        <vt:i4>5</vt:i4>
      </vt:variant>
      <vt:variant>
        <vt:lpwstr>https://www.linkedin.com/company/stone-junction-ltd</vt:lpwstr>
      </vt:variant>
      <vt:variant>
        <vt:lpwstr/>
      </vt:variant>
      <vt:variant>
        <vt:i4>3670056</vt:i4>
      </vt:variant>
      <vt:variant>
        <vt:i4>39</vt:i4>
      </vt:variant>
      <vt:variant>
        <vt:i4>0</vt:i4>
      </vt:variant>
      <vt:variant>
        <vt:i4>5</vt:i4>
      </vt:variant>
      <vt:variant>
        <vt:lpwstr>http://www.facebook.com/technicalPR</vt:lpwstr>
      </vt:variant>
      <vt:variant>
        <vt:lpwstr/>
      </vt:variant>
      <vt:variant>
        <vt:i4>2359341</vt:i4>
      </vt:variant>
      <vt:variant>
        <vt:i4>36</vt:i4>
      </vt:variant>
      <vt:variant>
        <vt:i4>0</vt:i4>
      </vt:variant>
      <vt:variant>
        <vt:i4>5</vt:i4>
      </vt:variant>
      <vt:variant>
        <vt:lpwstr>http://www.twitter.com/StoneJunctionPR</vt:lpwstr>
      </vt:variant>
      <vt:variant>
        <vt:lpwstr/>
      </vt:variant>
      <vt:variant>
        <vt:i4>6619233</vt:i4>
      </vt:variant>
      <vt:variant>
        <vt:i4>33</vt:i4>
      </vt:variant>
      <vt:variant>
        <vt:i4>0</vt:i4>
      </vt:variant>
      <vt:variant>
        <vt:i4>5</vt:i4>
      </vt:variant>
      <vt:variant>
        <vt:lpwstr>http://www.stonejunction.co.uk/</vt:lpwstr>
      </vt:variant>
      <vt:variant>
        <vt:lpwstr/>
      </vt:variant>
      <vt:variant>
        <vt:i4>5832759</vt:i4>
      </vt:variant>
      <vt:variant>
        <vt:i4>30</vt:i4>
      </vt:variant>
      <vt:variant>
        <vt:i4>0</vt:i4>
      </vt:variant>
      <vt:variant>
        <vt:i4>5</vt:i4>
      </vt:variant>
      <vt:variant>
        <vt:lpwstr>mailto:stephanie@stonejunction.co.uk</vt:lpwstr>
      </vt:variant>
      <vt:variant>
        <vt:lpwstr/>
      </vt:variant>
      <vt:variant>
        <vt:i4>5505064</vt:i4>
      </vt:variant>
      <vt:variant>
        <vt:i4>27</vt:i4>
      </vt:variant>
      <vt:variant>
        <vt:i4>0</vt:i4>
      </vt:variant>
      <vt:variant>
        <vt:i4>5</vt:i4>
      </vt:variant>
      <vt:variant>
        <vt:lpwstr>mailto:laura@stonejunction.co.uk</vt:lpwstr>
      </vt:variant>
      <vt:variant>
        <vt:lpwstr/>
      </vt:variant>
      <vt:variant>
        <vt:i4>2162768</vt:i4>
      </vt:variant>
      <vt:variant>
        <vt:i4>24</vt:i4>
      </vt:variant>
      <vt:variant>
        <vt:i4>0</vt:i4>
      </vt:variant>
      <vt:variant>
        <vt:i4>5</vt:i4>
      </vt:variant>
      <vt:variant>
        <vt:lpwstr>mailto:info-uk@weg.net</vt:lpwstr>
      </vt:variant>
      <vt:variant>
        <vt:lpwstr/>
      </vt:variant>
      <vt:variant>
        <vt:i4>2162814</vt:i4>
      </vt:variant>
      <vt:variant>
        <vt:i4>21</vt:i4>
      </vt:variant>
      <vt:variant>
        <vt:i4>0</vt:i4>
      </vt:variant>
      <vt:variant>
        <vt:i4>5</vt:i4>
      </vt:variant>
      <vt:variant>
        <vt:lpwstr>http://www.weg.net/</vt:lpwstr>
      </vt:variant>
      <vt:variant>
        <vt:lpwstr/>
      </vt:variant>
      <vt:variant>
        <vt:i4>1048668</vt:i4>
      </vt:variant>
      <vt:variant>
        <vt:i4>18</vt:i4>
      </vt:variant>
      <vt:variant>
        <vt:i4>0</vt:i4>
      </vt:variant>
      <vt:variant>
        <vt:i4>5</vt:i4>
      </vt:variant>
      <vt:variant>
        <vt:lpwstr>https://www.weg.net/institutional/MR/en/all-news/all</vt:lpwstr>
      </vt:variant>
      <vt:variant>
        <vt:lpwstr/>
      </vt:variant>
      <vt:variant>
        <vt:i4>7536728</vt:i4>
      </vt:variant>
      <vt:variant>
        <vt:i4>15</vt:i4>
      </vt:variant>
      <vt:variant>
        <vt:i4>0</vt:i4>
      </vt:variant>
      <vt:variant>
        <vt:i4>5</vt:i4>
      </vt:variant>
      <vt:variant>
        <vt:lpwstr>https://www.weg.net/institutional/US/en/?utm_source=Stone+Junction&amp;utm_medium=Rotating_syncronous_monto&amp;utm_campaign=WEG1359&amp;utm_id=WEG1359&amp;utm_term=Commissioned_article&amp;utm_content=Earned</vt:lpwstr>
      </vt:variant>
      <vt:variant>
        <vt:lpwstr/>
      </vt:variant>
      <vt:variant>
        <vt:i4>5832821</vt:i4>
      </vt:variant>
      <vt:variant>
        <vt:i4>12</vt:i4>
      </vt:variant>
      <vt:variant>
        <vt:i4>0</vt:i4>
      </vt:variant>
      <vt:variant>
        <vt:i4>5</vt:i4>
      </vt:variant>
      <vt:variant>
        <vt:lpwstr>https://www.weg.net/bess?utm_source=Stone+Junction&amp;utm_medium=Opinion_piece&amp;utm_campaign=WEG1359&amp;utm_id=WEG1359&amp;utm_term=Rotating_synchronous_condenser+&amp;utm_content=Earned</vt:lpwstr>
      </vt:variant>
      <vt:variant>
        <vt:lpwstr/>
      </vt:variant>
      <vt:variant>
        <vt:i4>8061030</vt:i4>
      </vt:variant>
      <vt:variant>
        <vt:i4>9</vt:i4>
      </vt:variant>
      <vt:variant>
        <vt:i4>0</vt:i4>
      </vt:variant>
      <vt:variant>
        <vt:i4>5</vt:i4>
      </vt:variant>
      <vt:variant>
        <vt:lpwstr>https://www.weg.net/catalog/weg/US/en/Drives/Variable-Speed-Drives/c/GLOBAL_WDC_DRV_IF?utm_source=Stone+Junction&amp;utm_medium=Rotating_syncronous_monto&amp;utm_campaign=WEG1359&amp;utm_id=WEG1359&amp;utm_term=Commissioned_article&amp;utm_content=Earned</vt:lpwstr>
      </vt:variant>
      <vt:variant>
        <vt:lpwstr/>
      </vt:variant>
      <vt:variant>
        <vt:i4>3670025</vt:i4>
      </vt:variant>
      <vt:variant>
        <vt:i4>6</vt:i4>
      </vt:variant>
      <vt:variant>
        <vt:i4>0</vt:i4>
      </vt:variant>
      <vt:variant>
        <vt:i4>5</vt:i4>
      </vt:variant>
      <vt:variant>
        <vt:lpwstr>https://www.weg.net/catalog/weg/US/en/Generation%2CTransmission-and-Distribution/Synchronous-Condensers/Synchronous-Condensers/p/MKT_WEM_SYN_CONDENSERS?utm_source=Stone+Junction&amp;utm_medium=Rotating_syncronous_monto&amp;utm_campaign=WEG1359&amp;utm_id=WEG1359&amp;utm_term=Commissioned_article&amp;utm_content=Earned</vt:lpwstr>
      </vt:variant>
      <vt:variant>
        <vt:lpwstr/>
      </vt:variant>
      <vt:variant>
        <vt:i4>4587539</vt:i4>
      </vt:variant>
      <vt:variant>
        <vt:i4>3</vt:i4>
      </vt:variant>
      <vt:variant>
        <vt:i4>0</vt:i4>
      </vt:variant>
      <vt:variant>
        <vt:i4>5</vt:i4>
      </vt:variant>
      <vt:variant>
        <vt:lpwstr>https://www2.deloitte.com/us/en/insights/industry/renewable-energy/renewable-energy-industry-outlook.html</vt:lpwstr>
      </vt:variant>
      <vt:variant>
        <vt:lpwstr/>
      </vt:variant>
      <vt:variant>
        <vt:i4>7536728</vt:i4>
      </vt:variant>
      <vt:variant>
        <vt:i4>0</vt:i4>
      </vt:variant>
      <vt:variant>
        <vt:i4>0</vt:i4>
      </vt:variant>
      <vt:variant>
        <vt:i4>5</vt:i4>
      </vt:variant>
      <vt:variant>
        <vt:lpwstr>https://www.weg.net/institutional/US/en/?utm_source=Stone+Junction&amp;utm_medium=Rotating_syncronous_monto&amp;utm_campaign=WEG1359&amp;utm_id=WEG1359&amp;utm_term=Commissioned_article&amp;utm_content=Earned</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RS002</dc:creator>
  <cp:keywords/>
  <cp:lastModifiedBy>Sarah Mensah</cp:lastModifiedBy>
  <cp:revision>36</cp:revision>
  <cp:lastPrinted>2013-11-28T05:43:00Z</cp:lastPrinted>
  <dcterms:created xsi:type="dcterms:W3CDTF">2025-03-20T23:33:00Z</dcterms:created>
  <dcterms:modified xsi:type="dcterms:W3CDTF">2026-03-02T14:19:00Z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TaxCatchAll">
    <vt:lpwstr/>
  </property>
  <property fmtid="{D5CDD505-2E9C-101B-9397-08002B2CF9AE}" pid="3" name="lcf76f155ced4ddcb4097134ff3c332f">
    <vt:lpwstr/>
  </property>
  <property fmtid="{D5CDD505-2E9C-101B-9397-08002B2CF9AE}" pid="4" name="ContentTypeId">
    <vt:lpwstr>0x0101006DB590B2C076D34293AC619A9DEC14B8</vt:lpwstr>
  </property>
  <property fmtid="{D5CDD505-2E9C-101B-9397-08002B2CF9AE}" pid="5" name="MediaServiceImageTags">
    <vt:lpwstr/>
  </property>
</Properties>
</file>