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076D1" w:rsidR="00B86E1F" w:rsidP="005076D1" w:rsidRDefault="000B7E0B" w14:paraId="5D2DCB3A" w14:textId="77777777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</w:rPr>
        <w:drawing>
          <wp:inline distT="0" distB="0" distL="0" distR="0" wp14:anchorId="5D2DCB6C" wp14:editId="117E1E41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5076D1" w:rsidR="00FA03F5" w:rsidP="006154AA" w:rsidRDefault="00FA03F5" w14:paraId="5D2DCB3B" w14:textId="77777777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:rsidRPr="0039048A" w:rsidR="0039048A" w:rsidP="0039048A" w:rsidRDefault="0039048A" w14:paraId="3160924E" w14:textId="77777777">
      <w:pPr>
        <w:spacing w:line="480" w:lineRule="auto"/>
        <w:jc w:val="center"/>
        <w:rPr>
          <w:rFonts w:cs="Arial"/>
          <w:b/>
          <w:sz w:val="32"/>
        </w:rPr>
      </w:pPr>
      <w:r w:rsidRPr="0039048A">
        <w:rPr>
          <w:rFonts w:cs="Arial"/>
          <w:b/>
          <w:sz w:val="32"/>
        </w:rPr>
        <w:t xml:space="preserve">Garantizar la estabilidad de la red</w:t>
      </w:r>
    </w:p>
    <w:p w:rsidRPr="0039048A" w:rsidR="0039048A" w:rsidP="0039048A" w:rsidRDefault="0039048A" w14:paraId="60D990F4" w14:textId="77777777">
      <w:pPr>
        <w:spacing w:line="480" w:lineRule="auto"/>
        <w:jc w:val="center"/>
        <w:rPr>
          <w:rFonts w:cs="Arial"/>
          <w:b/>
        </w:rPr>
      </w:pPr>
      <w:r w:rsidRPr="0039048A">
        <w:rPr>
          <w:rFonts w:cs="Arial"/>
          <w:b/>
        </w:rPr>
        <w:t xml:space="preserve">~ Los condensadores síncronos rotativos de WEG contribuyen a la fiabilidad del sistema eléctrico ~</w:t>
      </w:r>
    </w:p>
    <w:p w:rsidR="0039048A" w:rsidP="0039048A" w:rsidRDefault="0039048A" w14:paraId="5161452D" w14:textId="77777777">
      <w:pPr>
        <w:spacing w:line="480" w:lineRule="auto"/>
        <w:jc w:val="both"/>
        <w:rPr>
          <w:rFonts w:cs="Arial"/>
          <w:b/>
          <w:szCs w:val="20"/>
        </w:rPr>
      </w:pPr>
    </w:p>
    <w:p w:rsidR="0039048A" w:rsidP="0039048A" w:rsidRDefault="0039048A" w14:paraId="19045381" w14:textId="3A923EDF">
      <w:pPr>
        <w:spacing w:line="480" w:lineRule="auto"/>
        <w:jc w:val="both"/>
        <w:rPr>
          <w:rFonts w:cs="Arial"/>
          <w:b/>
          <w:bCs/>
          <w:lang w:val="en-US"/>
        </w:rPr>
      </w:pPr>
      <w:r w:rsidRPr="0039048A">
        <w:rPr>
          <w:rFonts w:cs="Arial"/>
          <w:b/>
          <w:bCs/>
          <w:lang w:val="en-US"/>
        </w:rPr>
        <w:t xml:space="preserve">El crecimiento de la energía eólica y solar se ha acelerado. Sin embargo, las energías renovables plantean retos debido a las fluctuaciones de tensión que pueden provocar el desgaste de los equipos, ineficiencias y posibles apagones. Para mantener la estabilidad del suministro eléctrico, los proveedores de energía deben adoptar tecnologías avanzadas. En este artículo, </w:t>
      </w:r>
      <w:r w:rsidR="00175EA9">
        <w:rPr>
          <w:rFonts w:cs="Arial"/>
          <w:b/>
          <w:bCs/>
          <w:lang w:val="en-US"/>
        </w:rPr>
        <w:t xml:space="preserve">Mark Newman</w:t>
      </w:r>
      <w:r w:rsidRPr="0039048A">
        <w:rPr>
          <w:rFonts w:cs="Arial"/>
          <w:b/>
          <w:bCs/>
          <w:lang w:val="en-US"/>
        </w:rPr>
        <w:t xml:space="preserve">, </w:t>
      </w:r>
      <w:r w:rsidR="007E534A">
        <w:rPr>
          <w:rFonts w:cs="Arial"/>
          <w:b/>
          <w:bCs/>
          <w:lang w:val="en-US"/>
        </w:rPr>
        <w:t xml:space="preserve">director</w:t>
      </w:r>
      <w:r w:rsidR="00254DE6">
        <w:rPr>
          <w:rFonts w:cs="Arial"/>
          <w:b/>
          <w:bCs/>
          <w:lang w:val="en-US"/>
        </w:rPr>
        <w:t xml:space="preserve"> de desarrollo de negocio </w:t>
      </w:r>
      <w:r w:rsidR="007E534A">
        <w:rPr>
          <w:rFonts w:cs="Arial"/>
          <w:b/>
          <w:bCs/>
          <w:lang w:val="en-US"/>
        </w:rPr>
        <w:t xml:space="preserve">para usuarios finales de </w:t>
      </w:r>
      <w:r w:rsidR="00EA21F0">
        <w:rPr>
          <w:rFonts w:cs="Arial"/>
          <w:b/>
          <w:bCs/>
          <w:lang w:val="en-US"/>
        </w:rPr>
        <w:t xml:space="preserve">WEG </w:t>
      </w:r>
      <w:r w:rsidR="001717D6">
        <w:rPr>
          <w:rFonts w:cs="Arial"/>
          <w:b/>
          <w:bCs/>
          <w:lang w:val="en-US"/>
        </w:rPr>
        <w:t xml:space="preserve">High Voltage Solutions </w:t>
      </w:r>
      <w:r w:rsidR="00EE155A">
        <w:rPr>
          <w:rFonts w:cs="Arial"/>
          <w:b/>
          <w:bCs/>
          <w:lang w:val="en-US"/>
        </w:rPr>
        <w:t xml:space="preserve">en la UE y Oriente Medio</w:t>
      </w:r>
      <w:r w:rsidRPr="0039048A">
        <w:rPr>
          <w:rFonts w:cs="Arial"/>
          <w:b/>
          <w:bCs/>
          <w:lang w:val="en-US"/>
        </w:rPr>
        <w:t xml:space="preserve">, explica cómo </w:t>
      </w:r>
      <w:hyperlink w:history="1" r:id="rId11">
        <w:r w:rsidRPr="0039048A">
          <w:rPr>
            <w:rStyle w:val="Hyperlink"/>
            <w:rFonts w:cs="Arial"/>
            <w:b/>
            <w:bCs/>
            <w:lang w:val="en-US"/>
          </w:rPr>
          <w:t xml:space="preserve">los condensadores síncronos rotativos</w:t>
        </w:r>
      </w:hyperlink>
      <w:r w:rsidRPr="0039048A">
        <w:rPr>
          <w:rFonts w:cs="Arial"/>
          <w:b/>
          <w:bCs/>
          <w:lang w:val="en-US"/>
        </w:rPr>
        <w:t xml:space="preserve"> de WEG </w:t>
      </w:r>
      <w:r w:rsidRPr="0039048A">
        <w:rPr>
          <w:rFonts w:cs="Arial"/>
          <w:b/>
          <w:bCs/>
          <w:lang w:val="en-US"/>
        </w:rPr>
        <w:t xml:space="preserve">contribuyen a </w:t>
      </w:r>
      <w:r w:rsidRPr="0039048A">
        <w:rPr>
          <w:rFonts w:cs="Arial"/>
          <w:b/>
          <w:bCs/>
          <w:lang w:val="en-US"/>
        </w:rPr>
        <w:t xml:space="preserve">estabilizar </w:t>
      </w:r>
      <w:r w:rsidRPr="0039048A">
        <w:rPr>
          <w:rFonts w:cs="Arial"/>
          <w:b/>
          <w:bCs/>
          <w:lang w:val="en-US"/>
        </w:rPr>
        <w:t xml:space="preserve">las fuentes de energía renovables y </w:t>
      </w:r>
      <w:r w:rsidRPr="0039048A">
        <w:rPr>
          <w:rFonts w:cs="Arial"/>
          <w:b/>
          <w:bCs/>
          <w:lang w:val="en-US"/>
        </w:rPr>
        <w:t xml:space="preserve">a optimizar </w:t>
      </w:r>
      <w:r w:rsidRPr="0039048A">
        <w:rPr>
          <w:rFonts w:cs="Arial"/>
          <w:b/>
          <w:bCs/>
          <w:lang w:val="en-US"/>
        </w:rPr>
        <w:t xml:space="preserve">el flujo de energía en la red.</w:t>
      </w:r>
    </w:p>
    <w:p w:rsidRPr="0039048A" w:rsidR="0039048A" w:rsidP="0039048A" w:rsidRDefault="0039048A" w14:paraId="0A9C61E8" w14:textId="77777777">
      <w:pPr>
        <w:spacing w:line="480" w:lineRule="auto"/>
        <w:jc w:val="both"/>
        <w:rPr>
          <w:rFonts w:cs="Arial"/>
          <w:b/>
          <w:bCs/>
          <w:lang w:val="en-US"/>
        </w:rPr>
      </w:pPr>
    </w:p>
    <w:p w:rsidR="0039048A" w:rsidP="0039048A" w:rsidRDefault="0039048A" w14:paraId="56042E10" w14:textId="2C94BF5C">
      <w:pPr>
        <w:spacing w:line="480" w:lineRule="auto"/>
        <w:jc w:val="both"/>
        <w:rPr>
          <w:rFonts w:cs="Arial"/>
          <w:lang w:val="en-US"/>
        </w:rPr>
      </w:pPr>
      <w:r w:rsidRPr="0039048A">
        <w:rPr>
          <w:rFonts w:cs="Arial"/>
          <w:lang w:val="en-US"/>
        </w:rPr>
        <w:t xml:space="preserve">Según </w:t>
      </w:r>
      <w:hyperlink w:history="1" r:id="rId12">
        <w:r w:rsidRPr="0039048A">
          <w:rPr>
            <w:rStyle w:val="Hyperlink"/>
            <w:rFonts w:cs="Arial"/>
            <w:i/>
            <w:iCs/>
            <w:lang w:val="en-US"/>
          </w:rPr>
          <w:t xml:space="preserve">el informe «2025 Renewable Energy Industry Outlook»</w:t>
        </w:r>
      </w:hyperlink>
      <w:r w:rsidRPr="0039048A">
        <w:rPr>
          <w:rFonts w:cs="Arial"/>
          <w:lang w:val="en-US"/>
        </w:rPr>
        <w:t xml:space="preserve"> de Deloitte</w:t>
      </w:r>
      <w:r w:rsidRPr="0039048A">
        <w:rPr>
          <w:rFonts w:cs="Arial"/>
          <w:lang w:val="en-US"/>
        </w:rPr>
        <w:t xml:space="preserve">, la demanda de energía limpia está superando actualmente a la oferta. Esta tendencia ejerce una presión adicional sobre los sistemas eléctricos, ya que se integran en la red fuentes más variables, como la eólica y la solar, lo que plantea varios retos de gestión.</w:t>
      </w:r>
    </w:p>
    <w:p w:rsidRPr="0039048A" w:rsidR="0039048A" w:rsidP="0039048A" w:rsidRDefault="0039048A" w14:paraId="2D801346" w14:textId="77777777">
      <w:pPr>
        <w:spacing w:line="480" w:lineRule="auto"/>
        <w:jc w:val="both"/>
        <w:rPr>
          <w:rFonts w:cs="Arial"/>
          <w:lang w:val="en-US"/>
        </w:rPr>
      </w:pPr>
    </w:p>
    <w:p w:rsidR="0039048A" w:rsidP="0039048A" w:rsidRDefault="0039048A" w14:paraId="79681079" w14:textId="5F4B0108">
      <w:pPr>
        <w:spacing w:line="480" w:lineRule="auto"/>
        <w:jc w:val="both"/>
        <w:rPr>
          <w:rFonts w:cs="Arial"/>
          <w:lang w:val="en-US"/>
        </w:rPr>
      </w:pPr>
      <w:r w:rsidRPr="0039048A" w:rsidR="0039048A">
        <w:rPr>
          <w:rFonts w:cs="Arial"/>
          <w:lang w:val="en-US"/>
        </w:rPr>
        <w:t xml:space="preserve">Las fuentes de energía renovables son más difíciles de gestionar que las fuentes convencionales por varias razones. En primer lugar, son menos predecibles: los paneles solares, por ejemplo, generan energía de forma intermitente en función de la luz solar. En segundo lugar, la energía renovable está cada vez más </w:t>
      </w:r>
      <w:r w:rsidRPr="0039048A" w:rsidR="0039048A">
        <w:rPr>
          <w:rFonts w:cs="Arial"/>
          <w:lang w:val="en-US"/>
        </w:rPr>
        <w:t xml:space="preserve">des</w:t>
      </w:r>
      <w:r w:rsidRPr="0039048A" w:rsidR="61818AC5">
        <w:rPr>
          <w:rFonts w:cs="Arial"/>
          <w:lang w:val="en-US"/>
        </w:rPr>
        <w:t xml:space="preserve">central</w:t>
      </w:r>
      <w:r w:rsidRPr="0039048A">
        <w:rPr>
          <w:rFonts w:cs="Arial"/>
          <w:lang w:val="en-US"/>
        </w:rPr>
        <w:lastRenderedPageBreak/>
      </w:r>
      <w:r w:rsidRPr="0039048A" w:rsidR="0039048A">
        <w:rPr>
          <w:rFonts w:cs="Arial"/>
          <w:lang w:val="en-US"/>
        </w:rPr>
        <w:t xml:space="preserve">izada</w:t>
      </w:r>
      <w:r w:rsidRPr="0039048A" w:rsidR="0039048A">
        <w:rPr>
          <w:rFonts w:cs="Arial"/>
          <w:lang w:val="en-US"/>
        </w:rPr>
        <w:t xml:space="preserve">, con paneles solares en tejados y sistemas de almacenamiento en baterías repartidos por áreas geográficas más amplias. </w:t>
      </w:r>
      <w:r w:rsidRPr="004F618B" w:rsidR="004F618B">
        <w:rPr>
          <w:rFonts w:cs="Arial"/>
          <w:lang w:val="en-US"/>
        </w:rPr>
        <w:t xml:space="preserve">En tercer lugar, la elevada penetración de las energías renovables distribuidas en </w:t>
      </w:r>
      <w:r w:rsidRPr="004F618B" w:rsidR="004F618B">
        <w:rPr>
          <w:rFonts w:cs="Arial"/>
          <w:lang w:val="en-US"/>
        </w:rPr>
        <w:t xml:space="preserve">las redes </w:t>
      </w:r>
      <w:r w:rsidRPr="004F618B" w:rsidR="004F618B">
        <w:rPr>
          <w:rFonts w:ascii="Cambria Math" w:hAnsi="Cambria Math" w:cs="Cambria Math"/>
          <w:lang w:val="en-US"/>
        </w:rPr>
        <w:t xml:space="preserve">de baja </w:t>
      </w:r>
      <w:r w:rsidRPr="004F618B" w:rsidR="004F618B">
        <w:rPr>
          <w:rFonts w:cs="Arial"/>
          <w:lang w:val="en-US"/>
        </w:rPr>
        <w:t xml:space="preserve">y </w:t>
      </w:r>
      <w:r w:rsidRPr="004F618B" w:rsidR="004F618B">
        <w:rPr>
          <w:rFonts w:cs="Arial"/>
          <w:lang w:val="en-US"/>
        </w:rPr>
        <w:t xml:space="preserve">media tensión puede provocar una mayor variabilidad de la tensión y alterar los perfiles de pérdidas, lo que plantea nuevos retos operativos para los operadores de red.</w:t>
      </w:r>
    </w:p>
    <w:p w:rsidRPr="0039048A" w:rsidR="0039048A" w:rsidP="0039048A" w:rsidRDefault="0039048A" w14:paraId="599F61F3" w14:textId="77777777">
      <w:pPr>
        <w:spacing w:line="480" w:lineRule="auto"/>
        <w:jc w:val="both"/>
        <w:rPr>
          <w:rFonts w:cs="Arial"/>
          <w:lang w:val="en-US"/>
        </w:rPr>
      </w:pPr>
    </w:p>
    <w:p w:rsidR="0039048A" w:rsidP="0039048A" w:rsidRDefault="0039048A" w14:paraId="284CEB0B" w14:textId="15645489">
      <w:pPr>
        <w:spacing w:line="480" w:lineRule="auto"/>
        <w:jc w:val="both"/>
        <w:rPr>
          <w:rFonts w:cs="Arial"/>
          <w:lang w:val="en-US"/>
        </w:rPr>
      </w:pPr>
      <w:r w:rsidRPr="396255B6" w:rsidR="0039048A">
        <w:rPr>
          <w:rFonts w:cs="Arial"/>
          <w:lang w:val="en-US"/>
        </w:rPr>
        <w:t xml:space="preserve">Un </w:t>
      </w:r>
      <w:r w:rsidRPr="396255B6" w:rsidR="0039048A">
        <w:rPr>
          <w:rFonts w:cs="Arial"/>
          <w:lang w:val="en-US"/>
        </w:rPr>
        <w:t>reto</w:t>
      </w:r>
      <w:r w:rsidRPr="396255B6" w:rsidR="0039048A">
        <w:rPr>
          <w:rFonts w:cs="Arial"/>
          <w:lang w:val="en-US"/>
        </w:rPr>
        <w:t xml:space="preserve"> clave </w:t>
      </w:r>
      <w:r w:rsidRPr="396255B6" w:rsidR="0039048A">
        <w:rPr>
          <w:rFonts w:cs="Arial"/>
          <w:lang w:val="en-US"/>
        </w:rPr>
        <w:t>dentro</w:t>
      </w:r>
      <w:r w:rsidRPr="396255B6" w:rsidR="0039048A">
        <w:rPr>
          <w:rFonts w:cs="Arial"/>
          <w:lang w:val="en-US"/>
        </w:rPr>
        <w:t xml:space="preserve"> de </w:t>
      </w:r>
      <w:r w:rsidRPr="396255B6" w:rsidR="0039048A">
        <w:rPr>
          <w:rFonts w:cs="Arial"/>
          <w:lang w:val="en-US"/>
        </w:rPr>
        <w:t>estas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fluctuaciones</w:t>
      </w:r>
      <w:r w:rsidRPr="396255B6" w:rsidR="0039048A">
        <w:rPr>
          <w:rFonts w:cs="Arial"/>
          <w:lang w:val="en-US"/>
        </w:rPr>
        <w:t xml:space="preserve"> es </w:t>
      </w:r>
      <w:r w:rsidRPr="396255B6" w:rsidR="0039048A">
        <w:rPr>
          <w:rFonts w:cs="Arial"/>
          <w:lang w:val="en-US"/>
        </w:rPr>
        <w:t>equilibrar</w:t>
      </w:r>
      <w:r w:rsidRPr="396255B6" w:rsidR="0039048A">
        <w:rPr>
          <w:rFonts w:cs="Arial"/>
          <w:lang w:val="en-US"/>
        </w:rPr>
        <w:t xml:space="preserve"> la </w:t>
      </w:r>
      <w:r w:rsidRPr="396255B6" w:rsidR="0039048A">
        <w:rPr>
          <w:rFonts w:cs="Arial"/>
          <w:lang w:val="en-US"/>
        </w:rPr>
        <w:t>potencia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activa</w:t>
      </w:r>
      <w:r w:rsidRPr="396255B6" w:rsidR="0039048A">
        <w:rPr>
          <w:rFonts w:cs="Arial"/>
          <w:lang w:val="en-US"/>
        </w:rPr>
        <w:t xml:space="preserve"> con la </w:t>
      </w:r>
      <w:r w:rsidRPr="396255B6" w:rsidR="0039048A">
        <w:rPr>
          <w:rFonts w:cs="Arial"/>
          <w:lang w:val="en-US"/>
        </w:rPr>
        <w:t>potencia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reactiva</w:t>
      </w:r>
      <w:r w:rsidRPr="396255B6" w:rsidR="0039048A">
        <w:rPr>
          <w:rFonts w:cs="Arial"/>
          <w:lang w:val="en-US"/>
        </w:rPr>
        <w:t xml:space="preserve">. La </w:t>
      </w:r>
      <w:r w:rsidRPr="396255B6" w:rsidR="0039048A">
        <w:rPr>
          <w:rFonts w:cs="Arial"/>
          <w:lang w:val="en-US"/>
        </w:rPr>
        <w:t>potencia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activa</w:t>
      </w:r>
      <w:r w:rsidRPr="396255B6" w:rsidR="0039048A">
        <w:rPr>
          <w:rFonts w:cs="Arial"/>
          <w:lang w:val="en-US"/>
        </w:rPr>
        <w:t xml:space="preserve">, </w:t>
      </w:r>
      <w:r w:rsidRPr="396255B6" w:rsidR="0039048A">
        <w:rPr>
          <w:rFonts w:cs="Arial"/>
          <w:lang w:val="en-US"/>
        </w:rPr>
        <w:t>medida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en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vatios</w:t>
      </w:r>
      <w:r w:rsidRPr="396255B6" w:rsidR="0039048A">
        <w:rPr>
          <w:rFonts w:cs="Arial"/>
          <w:lang w:val="en-US"/>
        </w:rPr>
        <w:t xml:space="preserve"> (W), </w:t>
      </w:r>
      <w:r w:rsidRPr="396255B6" w:rsidR="0039048A">
        <w:rPr>
          <w:rFonts w:cs="Arial"/>
          <w:lang w:val="en-US"/>
        </w:rPr>
        <w:t>realiza</w:t>
      </w:r>
      <w:r w:rsidRPr="396255B6" w:rsidR="0039048A">
        <w:rPr>
          <w:rFonts w:cs="Arial"/>
          <w:lang w:val="en-US"/>
        </w:rPr>
        <w:t xml:space="preserve"> un trabajo </w:t>
      </w:r>
      <w:r w:rsidRPr="396255B6" w:rsidR="0039048A">
        <w:rPr>
          <w:rFonts w:cs="Arial"/>
          <w:lang w:val="en-US"/>
        </w:rPr>
        <w:t>útil</w:t>
      </w:r>
      <w:r w:rsidRPr="396255B6" w:rsidR="0039048A">
        <w:rPr>
          <w:rFonts w:cs="Arial"/>
          <w:lang w:val="en-US"/>
        </w:rPr>
        <w:t xml:space="preserve">: </w:t>
      </w:r>
      <w:r w:rsidRPr="396255B6" w:rsidR="0039048A">
        <w:rPr>
          <w:rFonts w:cs="Arial"/>
          <w:lang w:val="en-US"/>
        </w:rPr>
        <w:t>alimentar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dispositivos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eléctricos</w:t>
      </w:r>
      <w:r w:rsidRPr="396255B6" w:rsidR="0039048A">
        <w:rPr>
          <w:rFonts w:cs="Arial"/>
          <w:lang w:val="en-US"/>
        </w:rPr>
        <w:t xml:space="preserve">. La </w:t>
      </w:r>
      <w:r w:rsidRPr="396255B6" w:rsidR="0039048A">
        <w:rPr>
          <w:rFonts w:cs="Arial"/>
          <w:lang w:val="en-US"/>
        </w:rPr>
        <w:t>potencia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reactiva</w:t>
      </w:r>
      <w:r w:rsidRPr="396255B6" w:rsidR="0039048A">
        <w:rPr>
          <w:rFonts w:cs="Arial"/>
          <w:lang w:val="en-US"/>
        </w:rPr>
        <w:t xml:space="preserve">, </w:t>
      </w:r>
      <w:r w:rsidRPr="396255B6" w:rsidR="0039048A">
        <w:rPr>
          <w:rFonts w:cs="Arial"/>
          <w:lang w:val="en-US"/>
        </w:rPr>
        <w:t>medida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en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voltio-amperios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reactivos</w:t>
      </w:r>
      <w:r w:rsidRPr="396255B6" w:rsidR="0039048A">
        <w:rPr>
          <w:rFonts w:cs="Arial"/>
          <w:lang w:val="en-US"/>
        </w:rPr>
        <w:t xml:space="preserve"> (</w:t>
      </w:r>
      <w:r w:rsidRPr="396255B6" w:rsidR="0039048A">
        <w:rPr>
          <w:rFonts w:cs="Arial"/>
          <w:lang w:val="en-US"/>
        </w:rPr>
        <w:t>VAR</w:t>
      </w:r>
      <w:r w:rsidRPr="396255B6" w:rsidR="0039048A">
        <w:rPr>
          <w:rFonts w:cs="Arial"/>
          <w:lang w:val="en-US"/>
        </w:rPr>
        <w:t xml:space="preserve">), no </w:t>
      </w:r>
      <w:r w:rsidRPr="396255B6" w:rsidR="0039048A">
        <w:rPr>
          <w:rFonts w:cs="Arial"/>
          <w:lang w:val="en-US"/>
        </w:rPr>
        <w:t>realiza</w:t>
      </w:r>
      <w:r w:rsidRPr="396255B6" w:rsidR="0039048A">
        <w:rPr>
          <w:rFonts w:cs="Arial"/>
          <w:lang w:val="en-US"/>
        </w:rPr>
        <w:t xml:space="preserve"> un trabajo </w:t>
      </w:r>
      <w:r w:rsidRPr="396255B6" w:rsidR="0039048A">
        <w:rPr>
          <w:rFonts w:cs="Arial"/>
          <w:lang w:val="en-US"/>
        </w:rPr>
        <w:t>útil</w:t>
      </w:r>
      <w:r w:rsidRPr="396255B6" w:rsidR="0039048A">
        <w:rPr>
          <w:rFonts w:cs="Arial"/>
          <w:lang w:val="en-US"/>
        </w:rPr>
        <w:t xml:space="preserve">, </w:t>
      </w:r>
      <w:r w:rsidRPr="396255B6" w:rsidR="0039048A">
        <w:rPr>
          <w:rFonts w:cs="Arial"/>
          <w:lang w:val="en-US"/>
        </w:rPr>
        <w:t>pero</w:t>
      </w:r>
      <w:r w:rsidRPr="396255B6" w:rsidR="0039048A">
        <w:rPr>
          <w:rFonts w:cs="Arial"/>
          <w:lang w:val="en-US"/>
        </w:rPr>
        <w:t xml:space="preserve"> es </w:t>
      </w:r>
      <w:r w:rsidRPr="396255B6" w:rsidR="0039048A">
        <w:rPr>
          <w:rFonts w:cs="Arial"/>
          <w:lang w:val="en-US"/>
        </w:rPr>
        <w:t>esencial</w:t>
      </w:r>
      <w:r w:rsidRPr="396255B6" w:rsidR="0039048A">
        <w:rPr>
          <w:rFonts w:cs="Arial"/>
          <w:lang w:val="en-US"/>
        </w:rPr>
        <w:t xml:space="preserve"> para </w:t>
      </w:r>
      <w:r w:rsidRPr="396255B6" w:rsidR="0039048A">
        <w:rPr>
          <w:rFonts w:cs="Arial"/>
          <w:lang w:val="en-US"/>
        </w:rPr>
        <w:t>mantener</w:t>
      </w:r>
      <w:r w:rsidRPr="396255B6" w:rsidR="0039048A">
        <w:rPr>
          <w:rFonts w:cs="Arial"/>
          <w:lang w:val="en-US"/>
        </w:rPr>
        <w:t xml:space="preserve"> la </w:t>
      </w:r>
      <w:r w:rsidRPr="396255B6" w:rsidR="0039048A">
        <w:rPr>
          <w:rFonts w:cs="Arial"/>
          <w:lang w:val="en-US"/>
        </w:rPr>
        <w:t>estabilidad</w:t>
      </w:r>
      <w:r w:rsidRPr="396255B6" w:rsidR="0039048A">
        <w:rPr>
          <w:rFonts w:cs="Arial"/>
          <w:lang w:val="en-US"/>
        </w:rPr>
        <w:t xml:space="preserve"> de la </w:t>
      </w:r>
      <w:r w:rsidRPr="396255B6" w:rsidR="0039048A">
        <w:rPr>
          <w:rFonts w:cs="Arial"/>
          <w:lang w:val="en-US"/>
        </w:rPr>
        <w:t>tensión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en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los</w:t>
      </w:r>
      <w:r w:rsidRPr="396255B6" w:rsidR="0039048A">
        <w:rPr>
          <w:rFonts w:cs="Arial"/>
          <w:lang w:val="en-US"/>
        </w:rPr>
        <w:t xml:space="preserve"> sistemas de </w:t>
      </w:r>
      <w:r w:rsidRPr="396255B6" w:rsidR="0039048A">
        <w:rPr>
          <w:rFonts w:cs="Arial"/>
          <w:lang w:val="en-US"/>
        </w:rPr>
        <w:t>corriente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alterna</w:t>
      </w:r>
      <w:r w:rsidRPr="396255B6" w:rsidR="0039048A">
        <w:rPr>
          <w:rFonts w:cs="Arial"/>
          <w:lang w:val="en-US"/>
        </w:rPr>
        <w:t xml:space="preserve"> (CA). </w:t>
      </w:r>
      <w:r w:rsidRPr="396255B6" w:rsidR="0039048A">
        <w:rPr>
          <w:rFonts w:cs="Arial"/>
          <w:lang w:val="en-US"/>
        </w:rPr>
        <w:t>Garantizar</w:t>
      </w:r>
      <w:r w:rsidRPr="396255B6" w:rsidR="0039048A">
        <w:rPr>
          <w:rFonts w:cs="Arial"/>
          <w:lang w:val="en-US"/>
        </w:rPr>
        <w:t xml:space="preserve"> un </w:t>
      </w:r>
      <w:r w:rsidRPr="396255B6" w:rsidR="0039048A">
        <w:rPr>
          <w:rFonts w:cs="Arial"/>
          <w:lang w:val="en-US"/>
        </w:rPr>
        <w:t>equilibrio</w:t>
      </w:r>
      <w:r w:rsidRPr="396255B6" w:rsidR="0039048A">
        <w:rPr>
          <w:rFonts w:cs="Arial"/>
          <w:lang w:val="en-US"/>
        </w:rPr>
        <w:t xml:space="preserve"> </w:t>
      </w:r>
      <w:r w:rsidRPr="396255B6" w:rsidR="0039048A">
        <w:rPr>
          <w:rFonts w:cs="Arial"/>
          <w:lang w:val="en-US"/>
        </w:rPr>
        <w:t>óptimo</w:t>
      </w:r>
      <w:r w:rsidRPr="396255B6" w:rsidR="0039048A">
        <w:rPr>
          <w:rFonts w:cs="Arial"/>
          <w:lang w:val="en-US"/>
        </w:rPr>
        <w:t xml:space="preserve"> entre </w:t>
      </w:r>
      <w:r w:rsidRPr="396255B6" w:rsidR="0039048A">
        <w:rPr>
          <w:rFonts w:cs="Arial"/>
          <w:lang w:val="en-US"/>
        </w:rPr>
        <w:t>estos</w:t>
      </w:r>
      <w:r w:rsidRPr="396255B6" w:rsidR="0039048A">
        <w:rPr>
          <w:rFonts w:cs="Arial"/>
          <w:lang w:val="en-US"/>
        </w:rPr>
        <w:t xml:space="preserve"> dos </w:t>
      </w:r>
      <w:r w:rsidRPr="396255B6" w:rsidR="0039048A">
        <w:rPr>
          <w:rFonts w:cs="Arial"/>
          <w:lang w:val="en-US"/>
        </w:rPr>
        <w:t>tipos</w:t>
      </w:r>
      <w:r w:rsidRPr="396255B6" w:rsidR="0039048A">
        <w:rPr>
          <w:rFonts w:cs="Arial"/>
          <w:lang w:val="en-US"/>
        </w:rPr>
        <w:t xml:space="preserve"> de </w:t>
      </w:r>
      <w:r w:rsidRPr="396255B6" w:rsidR="0039048A">
        <w:rPr>
          <w:rFonts w:cs="Arial"/>
          <w:lang w:val="en-US"/>
        </w:rPr>
        <w:t>potencia</w:t>
      </w:r>
      <w:r w:rsidRPr="396255B6" w:rsidR="68652FFC">
        <w:rPr>
          <w:rFonts w:cs="Arial"/>
          <w:lang w:val="en-US"/>
        </w:rPr>
        <w:t>s</w:t>
      </w:r>
      <w:r w:rsidRPr="396255B6" w:rsidR="0039048A">
        <w:rPr>
          <w:rFonts w:cs="Arial"/>
          <w:lang w:val="en-US"/>
        </w:rPr>
        <w:t xml:space="preserve"> es crucial para la </w:t>
      </w:r>
      <w:r w:rsidRPr="396255B6" w:rsidR="0039048A">
        <w:rPr>
          <w:rFonts w:cs="Arial"/>
          <w:lang w:val="en-US"/>
        </w:rPr>
        <w:t>eficiencia</w:t>
      </w:r>
      <w:r w:rsidRPr="396255B6" w:rsidR="0039048A">
        <w:rPr>
          <w:rFonts w:cs="Arial"/>
          <w:lang w:val="en-US"/>
        </w:rPr>
        <w:t xml:space="preserve"> de la red.</w:t>
      </w:r>
    </w:p>
    <w:p w:rsidRPr="0039048A" w:rsidR="0039048A" w:rsidP="0039048A" w:rsidRDefault="0039048A" w14:paraId="36D74AA7" w14:textId="77777777">
      <w:pPr>
        <w:spacing w:line="480" w:lineRule="auto"/>
        <w:jc w:val="both"/>
        <w:rPr>
          <w:rFonts w:cs="Arial"/>
          <w:lang w:val="en-US"/>
        </w:rPr>
      </w:pPr>
    </w:p>
    <w:p w:rsidR="0039048A" w:rsidP="0039048A" w:rsidRDefault="0039048A" w14:paraId="29E1CCDB" w14:textId="77777777">
      <w:pPr>
        <w:spacing w:line="480" w:lineRule="auto"/>
        <w:jc w:val="both"/>
        <w:rPr>
          <w:rFonts w:cs="Arial"/>
          <w:lang w:val="en-US"/>
        </w:rPr>
      </w:pPr>
      <w:r w:rsidRPr="0039048A">
        <w:rPr>
          <w:rFonts w:cs="Arial"/>
          <w:lang w:val="en-US"/>
        </w:rPr>
        <w:t xml:space="preserve">Para este fin se han utilizado </w:t>
      </w:r>
      <w:r w:rsidRPr="0039048A">
        <w:rPr>
          <w:rFonts w:cs="Arial"/>
          <w:lang w:val="en-US"/>
        </w:rPr>
        <w:t xml:space="preserve">dispositivos tradicionales de compensación de potencia reactiva, como bancos de condensadores, </w:t>
      </w:r>
      <w:r w:rsidRPr="0039048A">
        <w:rPr>
          <w:rFonts w:cs="Arial"/>
          <w:lang w:val="en-US"/>
        </w:rPr>
        <w:t xml:space="preserve">compensadores </w:t>
      </w:r>
      <w:r w:rsidRPr="0039048A">
        <w:rPr>
          <w:rFonts w:cs="Arial"/>
          <w:lang w:val="en-US"/>
        </w:rPr>
        <w:t xml:space="preserve">estáticos </w:t>
      </w:r>
      <w:r w:rsidRPr="0039048A">
        <w:rPr>
          <w:rFonts w:cs="Arial"/>
          <w:lang w:val="en-US"/>
        </w:rPr>
        <w:t xml:space="preserve">de VAr </w:t>
      </w:r>
      <w:r w:rsidRPr="0039048A">
        <w:rPr>
          <w:rFonts w:cs="Arial"/>
          <w:lang w:val="en-US"/>
        </w:rPr>
        <w:t xml:space="preserve">y cambiadores de tomas de transformadores. Sin embargo, estos dispositivos suelen carecer de capacidad de respuesta en tiempo real y las conmutaciones frecuentes pueden provocar el desgaste de los equipos, lo que reduce la fiabilidad.</w:t>
      </w:r>
    </w:p>
    <w:p w:rsidRPr="0039048A" w:rsidR="0039048A" w:rsidP="0039048A" w:rsidRDefault="0039048A" w14:paraId="4DB6C7EF" w14:textId="77777777">
      <w:pPr>
        <w:spacing w:line="480" w:lineRule="auto"/>
        <w:jc w:val="both"/>
        <w:rPr>
          <w:rFonts w:cs="Arial"/>
          <w:lang w:val="en-US"/>
        </w:rPr>
      </w:pPr>
    </w:p>
    <w:p w:rsidRPr="0039048A" w:rsidR="0039048A" w:rsidP="0039048A" w:rsidRDefault="0039048A" w14:paraId="567CA874" w14:textId="77777777">
      <w:pPr>
        <w:spacing w:line="480" w:lineRule="auto"/>
        <w:jc w:val="both"/>
        <w:rPr>
          <w:rFonts w:cs="Arial"/>
          <w:b/>
          <w:bCs/>
          <w:lang w:val="en-US"/>
        </w:rPr>
      </w:pPr>
      <w:r w:rsidRPr="0039048A">
        <w:rPr>
          <w:rFonts w:cs="Arial"/>
          <w:b/>
          <w:bCs/>
          <w:lang w:val="en-US"/>
        </w:rPr>
        <w:t xml:space="preserve">Innovaciones en la regulación de tensión</w:t>
      </w:r>
    </w:p>
    <w:p w:rsidR="0039048A" w:rsidP="0039048A" w:rsidRDefault="0039048A" w14:paraId="07573B24" w14:textId="77777777">
      <w:pPr>
        <w:spacing w:line="480" w:lineRule="auto"/>
        <w:jc w:val="both"/>
        <w:rPr>
          <w:rFonts w:cs="Arial"/>
        </w:rPr>
      </w:pPr>
      <w:r w:rsidRPr="0039048A">
        <w:rPr>
          <w:rFonts w:cs="Arial"/>
          <w:lang w:val="en-US"/>
        </w:rPr>
        <w:t xml:space="preserve">A medida que la red evoluciona, los proveedores de energía deben adoptar tecnologías más adaptables y eficientes para gestionar la potencia activa y reactiva. Estas soluciones también deben cumplir con los códigos de red, normas técnicas establecidas por los reguladores energéticos nacionales o regionales para garantizar el funcionamiento estable, seguro y eficiente </w:t>
      </w:r>
      <w:r w:rsidRPr="0039048A">
        <w:rPr>
          <w:rFonts w:cs="Arial"/>
        </w:rPr>
        <w:t xml:space="preserve">de las redes eléctricas, especialmente a medida que se añaden nuevas fuentes de energía.</w:t>
      </w:r>
    </w:p>
    <w:p w:rsidRPr="0039048A" w:rsidR="0039048A" w:rsidP="0039048A" w:rsidRDefault="0039048A" w14:paraId="22A2D643" w14:textId="77777777">
      <w:pPr>
        <w:spacing w:line="480" w:lineRule="auto"/>
        <w:jc w:val="both"/>
        <w:rPr>
          <w:rFonts w:cs="Arial"/>
          <w:lang w:val="en-US"/>
        </w:rPr>
      </w:pPr>
    </w:p>
    <w:p w:rsidR="0039048A" w:rsidP="0039048A" w:rsidRDefault="0039048A" w14:paraId="3884951E" w14:textId="55212839">
      <w:pPr>
        <w:spacing w:line="480" w:lineRule="auto"/>
        <w:jc w:val="both"/>
        <w:rPr>
          <w:rFonts w:cs="Arial"/>
          <w:lang w:val="en-US"/>
        </w:rPr>
      </w:pPr>
      <w:r w:rsidRPr="0039048A">
        <w:rPr>
          <w:rFonts w:cs="Arial"/>
          <w:lang w:val="en-US"/>
        </w:rPr>
        <w:t xml:space="preserve">Entre las soluciones más eficaces se encuentran los condensadores síncronos rotativos, que generan o absorben potencia reactiva según sea necesario para </w:t>
      </w:r>
      <w:r w:rsidRPr="0039048A">
        <w:rPr>
          <w:rFonts w:cs="Arial"/>
          <w:lang w:val="en-US"/>
        </w:rPr>
        <w:t xml:space="preserve">estabilizar </w:t>
      </w:r>
      <w:r w:rsidRPr="0039048A">
        <w:rPr>
          <w:rFonts w:cs="Arial"/>
          <w:lang w:val="en-US"/>
        </w:rPr>
        <w:t xml:space="preserve">los niveles de tensión. A diferencia de los dispositivos tradicionales, los condensadores síncronos proporcionan una regulación de tensión continua y en tiempo real sin necesidad de conmutaciones frecuentes. Mejoran la estabilidad de la red al responder instantáneamente a las fluctuaciones de tensión y ayudan a garantizar el cumplimiento de los estrictos códigos de red.</w:t>
      </w:r>
    </w:p>
    <w:p w:rsidRPr="0039048A" w:rsidR="0039048A" w:rsidP="0039048A" w:rsidRDefault="0039048A" w14:paraId="4B0FC8D9" w14:textId="77777777">
      <w:pPr>
        <w:spacing w:line="480" w:lineRule="auto"/>
        <w:jc w:val="both"/>
        <w:rPr>
          <w:rFonts w:cs="Arial"/>
          <w:lang w:val="en-US"/>
        </w:rPr>
      </w:pPr>
    </w:p>
    <w:p w:rsidR="0039048A" w:rsidP="0039048A" w:rsidRDefault="0039048A" w14:paraId="51596CD9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  <w:r w:rsidRPr="0039048A">
        <w:rPr>
          <w:rFonts w:cs="Arial"/>
          <w:color w:val="000000" w:themeColor="text1"/>
          <w:lang w:val="en-US"/>
        </w:rPr>
        <w:t xml:space="preserve">Además, los condensadores síncronos no introducen armónicos ni resonancia en el sistema, lo que los convierte en una alternativa preferible a los métodos convencionales de compensación de potencia reactiva.</w:t>
      </w:r>
    </w:p>
    <w:p w:rsidRPr="0039048A" w:rsidR="0039048A" w:rsidP="0039048A" w:rsidRDefault="0039048A" w14:paraId="02BEDBE3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:rsidRPr="0039048A" w:rsidR="0039048A" w:rsidP="0039048A" w:rsidRDefault="0039048A" w14:paraId="6EB1AF93" w14:textId="77777777">
      <w:pPr>
        <w:spacing w:line="480" w:lineRule="auto"/>
        <w:jc w:val="both"/>
        <w:rPr>
          <w:rFonts w:cs="Arial"/>
          <w:b/>
          <w:bCs/>
          <w:color w:val="000000" w:themeColor="text1"/>
          <w:lang w:val="en-US"/>
        </w:rPr>
      </w:pPr>
      <w:r w:rsidRPr="0039048A">
        <w:rPr>
          <w:rFonts w:cs="Arial"/>
          <w:b/>
          <w:bCs/>
          <w:color w:val="000000" w:themeColor="text1"/>
          <w:lang w:val="en-US"/>
        </w:rPr>
        <w:t xml:space="preserve">Aplicaciones en el mundo real</w:t>
      </w:r>
    </w:p>
    <w:p w:rsidRPr="003B3F21" w:rsidR="0039048A" w:rsidP="0039048A" w:rsidRDefault="0039048A" w14:paraId="31A98613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  <w:r w:rsidRPr="0039048A">
        <w:rPr>
          <w:rFonts w:cs="Arial"/>
          <w:color w:val="000000" w:themeColor="text1"/>
          <w:lang w:val="en-US"/>
        </w:rPr>
        <w:t xml:space="preserve">Veamos algunos ejemplos de cómo los sistemas de condensadores síncronos rotativos han demostrado su eficacia en entornos prácticos. En Brasil, el proveedor de energía </w:t>
      </w:r>
      <w:r w:rsidRPr="0039048A">
        <w:rPr>
          <w:rFonts w:cs="Arial"/>
          <w:color w:val="000000" w:themeColor="text1"/>
          <w:lang w:val="en-US"/>
        </w:rPr>
        <w:t xml:space="preserve">Eletrosul </w:t>
      </w:r>
      <w:r w:rsidRPr="0039048A">
        <w:rPr>
          <w:rFonts w:cs="Arial"/>
          <w:color w:val="000000" w:themeColor="text1"/>
          <w:lang w:val="en-US"/>
        </w:rPr>
        <w:t xml:space="preserve">ha implementado </w:t>
      </w:r>
      <w:r w:rsidRPr="003B3F21">
        <w:rPr>
          <w:rFonts w:cs="Arial"/>
          <w:color w:val="000000" w:themeColor="text1"/>
          <w:lang w:val="en-US"/>
        </w:rPr>
        <w:t xml:space="preserve">los condensadores síncronos</w:t>
      </w:r>
      <w:r w:rsidRPr="0039048A">
        <w:rPr>
          <w:rFonts w:cs="Arial"/>
          <w:color w:val="000000" w:themeColor="text1"/>
          <w:lang w:val="en-US"/>
        </w:rPr>
        <w:t xml:space="preserve"> de WEG </w:t>
      </w:r>
      <w:r w:rsidRPr="003B3F21">
        <w:rPr>
          <w:rFonts w:cs="Arial"/>
          <w:color w:val="000000" w:themeColor="text1"/>
          <w:lang w:val="en-US"/>
        </w:rPr>
        <w:t xml:space="preserve">para reforzar su red de transmisión.</w:t>
      </w:r>
    </w:p>
    <w:p w:rsidRPr="003B3F21" w:rsidR="0039048A" w:rsidP="0039048A" w:rsidRDefault="0039048A" w14:paraId="5F101AE5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:rsidRPr="003B3F21" w:rsidR="0039048A" w:rsidP="0039048A" w:rsidRDefault="0039048A" w14:paraId="4F89617D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  <w:r w:rsidRPr="003B3F21">
        <w:rPr>
          <w:rFonts w:cs="Arial"/>
          <w:color w:val="000000" w:themeColor="text1"/>
          <w:lang w:val="en-US"/>
        </w:rPr>
        <w:t xml:space="preserve">El condensador síncrono rotativo de WEG está diseñado para ofrecer rendimiento y fiabilidad. Al generar o absorber potencia reactiva, mantiene la tensión dentro de los límites de funcionamiento seguros, garantizando una transmisión eficiente de la electricidad, especialmente en zonas con una alta penetración de energías renovables.</w:t>
      </w:r>
    </w:p>
    <w:p w:rsidR="00635582" w:rsidP="0039048A" w:rsidRDefault="00635582" w14:paraId="2C685070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:rsidRPr="00635582" w:rsidR="0039048A" w:rsidP="0039048A" w:rsidRDefault="00635582" w14:paraId="646DE966" w14:textId="05B45B39">
      <w:pPr>
        <w:spacing w:line="480" w:lineRule="auto"/>
        <w:jc w:val="both"/>
        <w:rPr>
          <w:rFonts w:cs="Arial"/>
          <w:color w:val="000000" w:themeColor="text1"/>
        </w:rPr>
      </w:pPr>
      <w:r w:rsidRPr="00635582">
        <w:rPr>
          <w:rFonts w:cs="Arial"/>
          <w:color w:val="000000" w:themeColor="text1"/>
        </w:rPr>
        <w:lastRenderedPageBreak/>
      </w:r>
      <w:r w:rsidRPr="00635582" w:rsidR="00635582">
        <w:rPr>
          <w:rFonts w:cs="Arial"/>
          <w:color w:val="000000" w:themeColor="text1"/>
        </w:rPr>
        <w:t xml:space="preserve">El </w:t>
      </w:r>
      <w:r w:rsidRPr="00635582" w:rsidR="00635582">
        <w:rPr>
          <w:rFonts w:cs="Arial"/>
          <w:color w:val="000000" w:themeColor="text1"/>
        </w:rPr>
        <w:t xml:space="preserve">sistema</w:t>
      </w:r>
      <w:r w:rsidRPr="00635582" w:rsidR="00635582">
        <w:rPr>
          <w:rFonts w:cs="Arial"/>
          <w:color w:val="000000" w:themeColor="text1"/>
        </w:rPr>
        <w:t xml:space="preserve"> </w:t>
      </w:r>
      <w:r w:rsidRPr="00635582" w:rsidR="00635582">
        <w:rPr>
          <w:rFonts w:cs="Arial"/>
          <w:color w:val="000000" w:themeColor="text1"/>
        </w:rPr>
        <w:t xml:space="preserve">puede</w:t>
      </w:r>
      <w:r w:rsidRPr="00635582" w:rsidR="00635582">
        <w:rPr>
          <w:rFonts w:cs="Arial"/>
          <w:color w:val="000000" w:themeColor="text1"/>
        </w:rPr>
        <w:t xml:space="preserve"> </w:t>
      </w:r>
      <w:r w:rsidRPr="00635582" w:rsidR="00635582">
        <w:rPr>
          <w:rFonts w:cs="Arial"/>
          <w:color w:val="000000" w:themeColor="text1"/>
        </w:rPr>
        <w:t xml:space="preserve">ajustar</w:t>
      </w:r>
      <w:r w:rsidRPr="00635582" w:rsidR="00635582">
        <w:rPr>
          <w:rFonts w:cs="Arial"/>
          <w:color w:val="000000" w:themeColor="text1"/>
        </w:rPr>
        <w:t xml:space="preserve"> el </w:t>
      </w:r>
      <w:r w:rsidRPr="00635582" w:rsidR="00635582">
        <w:rPr>
          <w:rFonts w:cs="Arial"/>
          <w:color w:val="000000" w:themeColor="text1"/>
        </w:rPr>
        <w:t xml:space="preserve">flujo</w:t>
      </w:r>
      <w:r w:rsidRPr="00635582" w:rsidR="00635582">
        <w:rPr>
          <w:rFonts w:cs="Arial"/>
          <w:color w:val="000000" w:themeColor="text1"/>
        </w:rPr>
        <w:t xml:space="preserve"> de </w:t>
      </w:r>
      <w:r w:rsidRPr="00635582" w:rsidR="529976B1">
        <w:rPr>
          <w:rFonts w:cs="Arial"/>
          <w:color w:val="000000" w:themeColor="text1"/>
        </w:rPr>
        <w:t xml:space="preserve">energía</w:t>
      </w:r>
      <w:r w:rsidRPr="00635582" w:rsidR="00635582">
        <w:rPr>
          <w:rFonts w:cs="Arial"/>
          <w:color w:val="000000" w:themeColor="text1"/>
        </w:rPr>
        <w:t xml:space="preserve"> para </w:t>
      </w:r>
      <w:r w:rsidRPr="00635582" w:rsidR="00635582">
        <w:rPr>
          <w:rFonts w:cs="Arial"/>
          <w:color w:val="000000" w:themeColor="text1"/>
        </w:rPr>
        <w:t xml:space="preserve">estabilizar</w:t>
      </w:r>
      <w:r w:rsidRPr="00635582" w:rsidR="00635582">
        <w:rPr>
          <w:rFonts w:cs="Arial"/>
          <w:color w:val="000000" w:themeColor="text1"/>
        </w:rPr>
        <w:t xml:space="preserve"> la </w:t>
      </w:r>
      <w:r w:rsidRPr="00635582" w:rsidR="00635582">
        <w:rPr>
          <w:rFonts w:cs="Arial"/>
          <w:color w:val="000000" w:themeColor="text1"/>
        </w:rPr>
        <w:t xml:space="preserve">tensión</w:t>
      </w:r>
      <w:r w:rsidRPr="00635582" w:rsidR="00635582">
        <w:rPr>
          <w:rFonts w:cs="Arial"/>
          <w:color w:val="000000" w:themeColor="text1"/>
        </w:rPr>
        <w:t xml:space="preserve">, </w:t>
      </w:r>
      <w:r w:rsidRPr="00635582" w:rsidR="00635582">
        <w:rPr>
          <w:rFonts w:cs="Arial"/>
          <w:color w:val="000000" w:themeColor="text1"/>
        </w:rPr>
        <w:t xml:space="preserve">gestionando</w:t>
      </w:r>
      <w:r w:rsidRPr="00635582" w:rsidR="00635582">
        <w:rPr>
          <w:rFonts w:cs="Arial"/>
          <w:color w:val="000000" w:themeColor="text1"/>
        </w:rPr>
        <w:t xml:space="preserve"> hasta ±330 </w:t>
      </w:r>
      <w:r w:rsidRPr="00635582" w:rsidR="00635582">
        <w:rPr>
          <w:rFonts w:cs="Arial"/>
          <w:color w:val="000000" w:themeColor="text1"/>
        </w:rPr>
        <w:t xml:space="preserve">megavoltiamperios</w:t>
      </w:r>
      <w:r w:rsidRPr="00635582" w:rsidR="00635582">
        <w:rPr>
          <w:rFonts w:cs="Arial"/>
          <w:color w:val="000000" w:themeColor="text1"/>
        </w:rPr>
        <w:t xml:space="preserve"> </w:t>
      </w:r>
      <w:r w:rsidRPr="00635582" w:rsidR="00635582">
        <w:rPr>
          <w:rFonts w:cs="Arial"/>
          <w:color w:val="000000" w:themeColor="text1"/>
        </w:rPr>
        <w:t xml:space="preserve">reactivos</w:t>
      </w:r>
      <w:r w:rsidRPr="00635582" w:rsidR="00635582">
        <w:rPr>
          <w:rFonts w:cs="Arial"/>
          <w:color w:val="000000" w:themeColor="text1"/>
        </w:rPr>
        <w:t xml:space="preserve"> (MVAr), </w:t>
      </w:r>
      <w:r w:rsidRPr="00635582" w:rsidR="00635582">
        <w:rPr>
          <w:rFonts w:cs="Arial"/>
          <w:color w:val="000000" w:themeColor="text1"/>
        </w:rPr>
        <w:t xml:space="preserve">según</w:t>
      </w:r>
      <w:r w:rsidRPr="00635582" w:rsidR="00635582">
        <w:rPr>
          <w:rFonts w:cs="Arial"/>
          <w:color w:val="000000" w:themeColor="text1"/>
        </w:rPr>
        <w:t xml:space="preserve"> </w:t>
      </w:r>
      <w:r w:rsidRPr="00635582" w:rsidR="00635582">
        <w:rPr>
          <w:rFonts w:cs="Arial"/>
          <w:color w:val="000000" w:themeColor="text1"/>
        </w:rPr>
        <w:t xml:space="preserve">los</w:t>
      </w:r>
      <w:r w:rsidRPr="00635582" w:rsidR="00635582">
        <w:rPr>
          <w:rFonts w:cs="Arial"/>
          <w:color w:val="000000" w:themeColor="text1"/>
        </w:rPr>
        <w:t xml:space="preserve"> </w:t>
      </w:r>
      <w:r w:rsidRPr="00635582" w:rsidR="00635582">
        <w:rPr>
          <w:rFonts w:cs="Arial"/>
          <w:color w:val="000000" w:themeColor="text1"/>
        </w:rPr>
        <w:t xml:space="preserve">estándares</w:t>
      </w:r>
      <w:r w:rsidRPr="00635582" w:rsidR="00635582">
        <w:rPr>
          <w:rFonts w:cs="Arial"/>
          <w:color w:val="000000" w:themeColor="text1"/>
        </w:rPr>
        <w:t xml:space="preserve"> </w:t>
      </w:r>
      <w:r w:rsidRPr="00635582" w:rsidR="00635582">
        <w:rPr>
          <w:rFonts w:cs="Arial"/>
          <w:color w:val="000000" w:themeColor="text1"/>
        </w:rPr>
        <w:t xml:space="preserve">regionales</w:t>
      </w:r>
      <w:r w:rsidRPr="00635582" w:rsidR="00635582">
        <w:rPr>
          <w:rFonts w:cs="Arial"/>
          <w:color w:val="000000" w:themeColor="text1"/>
        </w:rPr>
        <w:t xml:space="preserve"> de </w:t>
      </w:r>
      <w:r w:rsidRPr="00635582" w:rsidR="00635582">
        <w:rPr>
          <w:rFonts w:cs="Arial"/>
          <w:color w:val="000000" w:themeColor="text1"/>
        </w:rPr>
        <w:t xml:space="preserve">tensión</w:t>
      </w:r>
      <w:r w:rsidRPr="00635582" w:rsidR="00635582">
        <w:rPr>
          <w:rFonts w:cs="Arial"/>
          <w:color w:val="000000" w:themeColor="text1"/>
        </w:rPr>
        <w:t xml:space="preserve"> y </w:t>
      </w:r>
      <w:r w:rsidRPr="00635582" w:rsidR="00635582">
        <w:rPr>
          <w:rFonts w:cs="Arial"/>
          <w:color w:val="000000" w:themeColor="text1"/>
        </w:rPr>
        <w:t xml:space="preserve">frecuencia</w:t>
      </w:r>
      <w:r w:rsidRPr="00635582" w:rsidR="00635582">
        <w:rPr>
          <w:rFonts w:cs="Arial"/>
          <w:color w:val="000000" w:themeColor="text1"/>
        </w:rPr>
        <w:t xml:space="preserve">. </w:t>
      </w:r>
      <w:r w:rsidRPr="003B3F21" w:rsidR="0039048A">
        <w:rPr>
          <w:rFonts w:cs="Arial"/>
          <w:color w:val="000000" w:themeColor="text1"/>
        </w:rPr>
        <w:t xml:space="preserve">Estos</w:t>
      </w:r>
      <w:r w:rsidRPr="003B3F21" w:rsidR="0039048A">
        <w:rPr>
          <w:rFonts w:cs="Arial"/>
          <w:color w:val="000000" w:themeColor="text1"/>
        </w:rPr>
        <w:t xml:space="preserve"> </w:t>
      </w:r>
      <w:r w:rsidRPr="003B3F21" w:rsidR="0039048A">
        <w:rPr>
          <w:rFonts w:cs="Arial"/>
          <w:color w:val="000000" w:themeColor="text1"/>
        </w:rPr>
        <w:t xml:space="preserve">valores</w:t>
      </w:r>
      <w:r w:rsidRPr="003B3F21" w:rsidR="0039048A">
        <w:rPr>
          <w:rFonts w:cs="Arial"/>
          <w:color w:val="000000" w:themeColor="text1"/>
        </w:rPr>
        <w:t xml:space="preserve"> </w:t>
      </w:r>
      <w:r w:rsidRPr="003B3F21" w:rsidR="0039048A">
        <w:rPr>
          <w:rFonts w:cs="Arial"/>
          <w:color w:val="000000" w:themeColor="text1"/>
        </w:rPr>
        <w:t xml:space="preserve">permiten</w:t>
      </w:r>
      <w:r w:rsidRPr="003B3F21" w:rsidR="0039048A">
        <w:rPr>
          <w:rFonts w:cs="Arial"/>
          <w:color w:val="000000" w:themeColor="text1"/>
        </w:rPr>
        <w:t xml:space="preserve"> </w:t>
      </w:r>
      <w:r w:rsidRPr="003B3F21" w:rsidR="0039048A">
        <w:rPr>
          <w:rFonts w:cs="Arial"/>
          <w:color w:val="000000" w:themeColor="text1"/>
        </w:rPr>
        <w:t xml:space="preserve">que</w:t>
      </w:r>
      <w:r w:rsidRPr="003B3F21" w:rsidR="0039048A">
        <w:rPr>
          <w:rFonts w:cs="Arial"/>
          <w:color w:val="000000" w:themeColor="text1"/>
        </w:rPr>
        <w:t xml:space="preserve"> el </w:t>
      </w:r>
      <w:r w:rsidRPr="003B3F21" w:rsidR="0039048A">
        <w:rPr>
          <w:rFonts w:cs="Arial"/>
          <w:color w:val="000000" w:themeColor="text1"/>
        </w:rPr>
        <w:t xml:space="preserve">sistema</w:t>
      </w:r>
      <w:r w:rsidRPr="003B3F21" w:rsidR="0039048A">
        <w:rPr>
          <w:rFonts w:cs="Arial"/>
          <w:color w:val="000000" w:themeColor="text1"/>
        </w:rPr>
        <w:t xml:space="preserve"> </w:t>
      </w:r>
      <w:r w:rsidRPr="003B3F21" w:rsidR="0039048A">
        <w:rPr>
          <w:rFonts w:cs="Arial"/>
          <w:color w:val="000000" w:themeColor="text1"/>
          <w:lang w:val="en-US"/>
        </w:rPr>
        <w:t xml:space="preserve">garantice</w:t>
      </w:r>
      <w:r w:rsidRPr="003B3F21" w:rsidR="0039048A">
        <w:rPr>
          <w:rFonts w:cs="Arial"/>
          <w:color w:val="000000" w:themeColor="text1"/>
          <w:lang w:val="en-US"/>
        </w:rPr>
        <w:t xml:space="preserve"> un control </w:t>
      </w:r>
      <w:r w:rsidRPr="003B3F21" w:rsidR="0039048A">
        <w:rPr>
          <w:rFonts w:cs="Arial"/>
          <w:color w:val="000000" w:themeColor="text1"/>
          <w:lang w:val="en-US"/>
        </w:rPr>
        <w:t xml:space="preserve">preciso</w:t>
      </w:r>
      <w:r w:rsidRPr="003B3F21" w:rsidR="0039048A">
        <w:rPr>
          <w:rFonts w:cs="Arial"/>
          <w:color w:val="000000" w:themeColor="text1"/>
          <w:lang w:val="en-US"/>
        </w:rPr>
        <w:t xml:space="preserve"> de la </w:t>
      </w:r>
      <w:r w:rsidRPr="003B3F21" w:rsidR="0039048A">
        <w:rPr>
          <w:rFonts w:cs="Arial"/>
          <w:color w:val="000000" w:themeColor="text1"/>
          <w:lang w:val="en-US"/>
        </w:rPr>
        <w:t xml:space="preserve">tensión</w:t>
      </w:r>
      <w:r w:rsidRPr="003B3F21" w:rsidR="0039048A">
        <w:rPr>
          <w:rFonts w:cs="Arial"/>
          <w:color w:val="000000" w:themeColor="text1"/>
          <w:lang w:val="en-US"/>
        </w:rPr>
        <w:t xml:space="preserve">. </w:t>
      </w:r>
    </w:p>
    <w:p w:rsidRPr="003B3F21" w:rsidR="0039048A" w:rsidP="0039048A" w:rsidRDefault="0039048A" w14:paraId="3A13D0F6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:rsidRPr="003B3F21" w:rsidR="0039048A" w:rsidP="4BB9419C" w:rsidRDefault="0039048A" w14:paraId="679FEAF5" w14:textId="2E036665">
      <w:pPr>
        <w:spacing w:line="480" w:lineRule="auto"/>
        <w:jc w:val="both"/>
        <w:rPr>
          <w:rFonts w:cs="Arial"/>
          <w:color w:val="000000" w:themeColor="text1"/>
          <w:lang w:val="es-ES"/>
        </w:rPr>
      </w:pP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Para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Eletrosul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se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suministraron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dos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condensadores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síncronos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,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cada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uno de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ellos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capaz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generar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o absorber ±100MVAr a 15</w:t>
      </w:r>
      <w:r w:rsidRPr="4BB9419C" w:rsidR="02CB02C2">
        <w:rPr>
          <w:rFonts w:cs="Arial"/>
          <w:color w:val="000000" w:themeColor="text1" w:themeTint="FF" w:themeShade="FF"/>
          <w:lang w:val="es-ES"/>
        </w:rPr>
        <w:t>.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000 </w:t>
      </w:r>
      <w:r w:rsidRPr="4BB9419C" w:rsidR="00D955C6">
        <w:rPr>
          <w:rFonts w:cs="Arial"/>
          <w:color w:val="000000" w:themeColor="text1" w:themeTint="FF" w:themeShade="FF"/>
          <w:lang w:val="es-ES"/>
        </w:rPr>
        <w:t>voltios</w:t>
      </w:r>
      <w:r w:rsidRPr="4BB9419C" w:rsidR="00D955C6">
        <w:rPr>
          <w:rFonts w:cs="Arial"/>
          <w:color w:val="000000" w:themeColor="text1" w:themeTint="FF" w:themeShade="FF"/>
          <w:lang w:val="es-ES"/>
        </w:rPr>
        <w:t xml:space="preserve"> (</w:t>
      </w:r>
      <w:r w:rsidRPr="4BB9419C" w:rsidR="0054666D">
        <w:rPr>
          <w:rFonts w:cs="Arial"/>
          <w:color w:val="000000" w:themeColor="text1" w:themeTint="FF" w:themeShade="FF"/>
          <w:lang w:val="es-ES"/>
        </w:rPr>
        <w:t>V</w:t>
      </w:r>
      <w:r w:rsidRPr="4BB9419C" w:rsidR="00D955C6">
        <w:rPr>
          <w:rFonts w:cs="Arial"/>
          <w:color w:val="000000" w:themeColor="text1" w:themeTint="FF" w:themeShade="FF"/>
          <w:lang w:val="es-ES"/>
        </w:rPr>
        <w:t>)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.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Estas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unidades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ajustan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dinámicamente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la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potencia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reactiva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para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estabilizar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las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fluctuaciones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tensión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,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garantizando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un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flujo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constante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electricidad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a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través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de las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líneas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transmisión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larga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distancia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. 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La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instalación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estos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condensadores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ayuda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equilibrar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la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distribución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energía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,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reduciendo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el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riesgo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interrupciones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en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los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centros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urbanos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industriales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y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mejorando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significativamente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la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fiabilidad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de la red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eléctrica</w:t>
      </w:r>
      <w:r w:rsidRPr="4BB9419C" w:rsidR="0054666D">
        <w:rPr>
          <w:rFonts w:cs="Arial"/>
          <w:color w:val="000000" w:themeColor="text1" w:themeTint="FF" w:themeShade="FF"/>
          <w:lang w:val="es-ES"/>
        </w:rPr>
        <w:t xml:space="preserve"> del </w:t>
      </w:r>
      <w:r w:rsidRPr="4BB9419C" w:rsidR="0054666D">
        <w:rPr>
          <w:rFonts w:cs="Arial"/>
          <w:color w:val="000000" w:themeColor="text1" w:themeTint="FF" w:themeShade="FF"/>
          <w:lang w:val="es-ES"/>
        </w:rPr>
        <w:t>país</w:t>
      </w:r>
      <w:r w:rsidRPr="4BB9419C" w:rsidR="0054666D">
        <w:rPr>
          <w:rFonts w:cs="Arial"/>
          <w:color w:val="000000" w:themeColor="text1" w:themeTint="FF" w:themeShade="FF"/>
          <w:lang w:val="es-ES"/>
        </w:rPr>
        <w:t>.</w:t>
      </w:r>
    </w:p>
    <w:p w:rsidRPr="003B3F21" w:rsidR="0039048A" w:rsidP="0039048A" w:rsidRDefault="0039048A" w14:paraId="47416FDE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:rsidR="0039048A" w:rsidP="4BB9419C" w:rsidRDefault="0039048A" w14:paraId="7D05B156" w14:textId="5036F928">
      <w:pPr>
        <w:spacing w:line="480" w:lineRule="auto"/>
        <w:jc w:val="both"/>
        <w:rPr>
          <w:rFonts w:cs="Arial"/>
          <w:color w:val="000000" w:themeColor="text1"/>
          <w:lang w:val="es-ES"/>
        </w:rPr>
      </w:pP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Mientras tanto, en Estados Unidos,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Southern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Power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ha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incorporado los condensadores síncronos de WEG a sus operaciones de energía eólica. Estas unidades, con una capacidad de -25/+25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MVAr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a 13</w:t>
      </w:r>
      <w:r w:rsidRPr="4BB9419C" w:rsidR="3CD9FA48">
        <w:rPr>
          <w:rFonts w:cs="Arial"/>
          <w:color w:val="000000" w:themeColor="text1" w:themeTint="FF" w:themeShade="FF"/>
          <w:lang w:val="es-ES"/>
        </w:rPr>
        <w:t>.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800V, ayudan a regular los niveles de tensión en zonas donde la producción de energía eólica puede variar con frecuencia. La capacidad de estos condensadores para responder instantáneamente a las fluctuaciones en la generación evita las caídas de tensión, mejorando la estabilidad general de la red y reduciendo la probabilidad de interrupciones. </w:t>
      </w:r>
      <w:r w:rsidRPr="4BB9419C" w:rsidR="00DE247E">
        <w:rPr>
          <w:rFonts w:cs="Arial"/>
          <w:color w:val="000000" w:themeColor="text1" w:themeTint="FF" w:themeShade="FF"/>
          <w:lang w:val="es-ES"/>
        </w:rPr>
        <w:t>Estas instalaciones ponen de relieve cómo los condensadores síncronos se utilizan cada vez más para mantener la estabilidad de la tensión y la solidez del sistema en redes con una alta y variable penetración de energías renovables.</w:t>
      </w:r>
    </w:p>
    <w:p w:rsidRPr="0039048A" w:rsidR="0039048A" w:rsidP="0039048A" w:rsidRDefault="0039048A" w14:paraId="635A5498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:rsidRPr="0039048A" w:rsidR="0039048A" w:rsidP="0039048A" w:rsidRDefault="0039048A" w14:paraId="5E712581" w14:textId="77777777">
      <w:pPr>
        <w:spacing w:line="480" w:lineRule="auto"/>
        <w:jc w:val="both"/>
        <w:rPr>
          <w:rFonts w:cs="Arial"/>
          <w:b/>
          <w:bCs/>
          <w:color w:val="000000" w:themeColor="text1"/>
          <w:lang w:val="en-US"/>
        </w:rPr>
      </w:pPr>
      <w:r w:rsidRPr="0039048A">
        <w:rPr>
          <w:rFonts w:cs="Arial"/>
          <w:b/>
          <w:bCs/>
          <w:color w:val="000000" w:themeColor="text1"/>
        </w:rPr>
        <w:t xml:space="preserve">Compatibilidad con la infraestructura existente</w:t>
      </w:r>
    </w:p>
    <w:p w:rsidR="0039048A" w:rsidP="0039048A" w:rsidRDefault="0039048A" w14:paraId="35B8AA0B" w14:textId="5FC0AC87">
      <w:pPr>
        <w:spacing w:line="480" w:lineRule="auto"/>
        <w:jc w:val="both"/>
        <w:rPr>
          <w:rFonts w:cs="Arial"/>
          <w:color w:val="000000" w:themeColor="text1"/>
          <w:lang w:val="en-US"/>
        </w:rPr>
      </w:pPr>
      <w:r w:rsidRPr="06D34C13">
        <w:rPr>
          <w:rFonts w:cs="Arial"/>
          <w:color w:val="000000" w:themeColor="text1"/>
          <w:lang w:val="en-US"/>
        </w:rPr>
        <w:t xml:space="preserve">La clave del rendimiento del </w:t>
      </w:r>
      <w:hyperlink r:id="rId13">
        <w:r w:rsidRPr="06D34C13">
          <w:rPr>
            <w:rStyle w:val="Hyperlink"/>
            <w:rFonts w:cs="Arial"/>
            <w:lang w:val="en-US"/>
          </w:rPr>
          <w:t xml:space="preserve">condensador síncrono rotativo de WEG</w:t>
        </w:r>
      </w:hyperlink>
      <w:r w:rsidRPr="06D34C13">
        <w:rPr>
          <w:rFonts w:cs="Arial"/>
          <w:color w:val="000000" w:themeColor="text1"/>
          <w:lang w:val="en-US"/>
        </w:rPr>
        <w:t xml:space="preserve"> es un estator construido con </w:t>
      </w:r>
      <w:r w:rsidRPr="06D34C13">
        <w:rPr>
          <w:rFonts w:cs="Arial"/>
          <w:color w:val="000000" w:themeColor="text1"/>
        </w:rPr>
        <w:t xml:space="preserve">laminado de acero al silicio de bajas pérdidas</w:t>
      </w:r>
      <w:r w:rsidRPr="06D34C13">
        <w:rPr>
          <w:rFonts w:cs="Arial"/>
          <w:color w:val="000000" w:themeColor="text1"/>
          <w:lang w:val="en-US"/>
        </w:rPr>
        <w:t xml:space="preserve">, que </w:t>
      </w:r>
      <w:r w:rsidRPr="06D34C13">
        <w:rPr>
          <w:rFonts w:cs="Arial"/>
          <w:color w:val="000000" w:themeColor="text1"/>
          <w:lang w:val="en-US"/>
        </w:rPr>
        <w:t xml:space="preserve">minimiza </w:t>
      </w:r>
      <w:r w:rsidRPr="06D34C13">
        <w:rPr>
          <w:rFonts w:cs="Arial"/>
          <w:color w:val="000000" w:themeColor="text1"/>
          <w:lang w:val="en-US"/>
        </w:rPr>
        <w:t xml:space="preserve">la disipación de energía </w:t>
      </w:r>
      <w:r w:rsidRPr="06D34C13">
        <w:rPr>
          <w:rFonts w:cs="Arial"/>
          <w:color w:val="000000" w:themeColor="text1"/>
        </w:rPr>
        <w:t xml:space="preserve">en forma de calor</w:t>
      </w:r>
      <w:r w:rsidRPr="06D34C13">
        <w:rPr>
          <w:rFonts w:cs="Arial"/>
          <w:color w:val="000000" w:themeColor="text1"/>
        </w:rPr>
        <w:lastRenderedPageBreak/>
      </w:r>
      <w:r w:rsidRPr="06D34C13">
        <w:rPr>
          <w:rFonts w:cs="Arial"/>
          <w:color w:val="000000" w:themeColor="text1"/>
        </w:rPr>
        <w:t xml:space="preserve"> para mejorar la eficiencia general, reduciendo el consumo de energía y los requisitos de refrigeración. </w:t>
      </w:r>
      <w:r w:rsidRPr="06D34C13">
        <w:rPr>
          <w:rFonts w:cs="Arial"/>
          <w:color w:val="000000" w:themeColor="text1"/>
          <w:lang w:val="en-US"/>
        </w:rPr>
        <w:t xml:space="preserve">El sistema también incluye cojinetes de manguito con un sistema externo de lubricación forzada por aceite para reducir el desgaste y prolongar la vida útil.</w:t>
      </w:r>
    </w:p>
    <w:p w:rsidRPr="0039048A" w:rsidR="0039048A" w:rsidP="0039048A" w:rsidRDefault="0039048A" w14:paraId="1EE4E17A" w14:textId="77777777">
      <w:pPr>
        <w:spacing w:line="480" w:lineRule="auto"/>
        <w:jc w:val="both"/>
        <w:rPr>
          <w:rFonts w:cs="Arial"/>
          <w:color w:val="000000" w:themeColor="text1"/>
          <w:lang w:val="en-US"/>
        </w:rPr>
      </w:pPr>
    </w:p>
    <w:p w:rsidR="0039048A" w:rsidP="00E04F24" w:rsidRDefault="0039048A" w14:paraId="08603C38" w14:textId="07DBFF0F">
      <w:pPr>
        <w:spacing w:line="480" w:lineRule="auto"/>
        <w:jc w:val="both"/>
        <w:rPr>
          <w:rFonts w:cs="Arial"/>
          <w:color w:val="000000" w:themeColor="text1"/>
        </w:rPr>
      </w:pPr>
      <w:r w:rsidRPr="4BB9419C" w:rsidR="0039048A">
        <w:rPr>
          <w:rFonts w:cs="Arial"/>
          <w:color w:val="000000" w:themeColor="text1" w:themeTint="FF" w:themeShade="FF"/>
        </w:rPr>
        <w:t xml:space="preserve">El </w:t>
      </w:r>
      <w:r w:rsidRPr="4BB9419C" w:rsidR="0039048A">
        <w:rPr>
          <w:rFonts w:cs="Arial"/>
          <w:color w:val="000000" w:themeColor="text1" w:themeTint="FF" w:themeShade="FF"/>
        </w:rPr>
        <w:t>sistema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cuenta</w:t>
      </w:r>
      <w:r w:rsidRPr="4BB9419C" w:rsidR="0039048A">
        <w:rPr>
          <w:rFonts w:cs="Arial"/>
          <w:color w:val="000000" w:themeColor="text1" w:themeTint="FF" w:themeShade="FF"/>
        </w:rPr>
        <w:t xml:space="preserve"> con un </w:t>
      </w:r>
      <w:r w:rsidRPr="4BB9419C" w:rsidR="0039048A">
        <w:rPr>
          <w:rFonts w:cs="Arial"/>
          <w:color w:val="000000" w:themeColor="text1" w:themeTint="FF" w:themeShade="FF"/>
        </w:rPr>
        <w:t>mecanismo</w:t>
      </w:r>
      <w:r w:rsidRPr="4BB9419C" w:rsidR="0039048A">
        <w:rPr>
          <w:rFonts w:cs="Arial"/>
          <w:color w:val="000000" w:themeColor="text1" w:themeTint="FF" w:themeShade="FF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</w:rPr>
        <w:t>elevación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alta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presión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que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garantiza</w:t>
      </w:r>
      <w:r w:rsidRPr="4BB9419C" w:rsidR="0039048A">
        <w:rPr>
          <w:rFonts w:cs="Arial"/>
          <w:color w:val="000000" w:themeColor="text1" w:themeTint="FF" w:themeShade="FF"/>
        </w:rPr>
        <w:t xml:space="preserve"> un </w:t>
      </w:r>
      <w:r w:rsidRPr="4BB9419C" w:rsidR="0039048A">
        <w:rPr>
          <w:rFonts w:cs="Arial"/>
          <w:color w:val="000000" w:themeColor="text1" w:themeTint="FF" w:themeShade="FF"/>
        </w:rPr>
        <w:t>arranque</w:t>
      </w:r>
      <w:r w:rsidRPr="4BB9419C" w:rsidR="0039048A">
        <w:rPr>
          <w:rFonts w:cs="Arial"/>
          <w:color w:val="000000" w:themeColor="text1" w:themeTint="FF" w:themeShade="FF"/>
        </w:rPr>
        <w:t xml:space="preserve"> y </w:t>
      </w:r>
      <w:r w:rsidRPr="4BB9419C" w:rsidR="0039048A">
        <w:rPr>
          <w:rFonts w:cs="Arial"/>
          <w:color w:val="000000" w:themeColor="text1" w:themeTint="FF" w:themeShade="FF"/>
        </w:rPr>
        <w:t>una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parada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suaves</w:t>
      </w:r>
      <w:r w:rsidRPr="4BB9419C" w:rsidR="0039048A">
        <w:rPr>
          <w:rFonts w:cs="Arial"/>
          <w:color w:val="000000" w:themeColor="text1" w:themeTint="FF" w:themeShade="FF"/>
        </w:rPr>
        <w:t xml:space="preserve">, lo </w:t>
      </w:r>
      <w:r w:rsidRPr="4BB9419C" w:rsidR="0039048A">
        <w:rPr>
          <w:rFonts w:cs="Arial"/>
          <w:color w:val="000000" w:themeColor="text1" w:themeTint="FF" w:themeShade="FF"/>
        </w:rPr>
        <w:t>que</w:t>
      </w:r>
      <w:r w:rsidRPr="4BB9419C" w:rsidR="0039048A">
        <w:rPr>
          <w:rFonts w:cs="Arial"/>
          <w:color w:val="000000" w:themeColor="text1" w:themeTint="FF" w:themeShade="FF"/>
        </w:rPr>
        <w:t xml:space="preserve"> reduce las </w:t>
      </w:r>
      <w:r w:rsidRPr="4BB9419C" w:rsidR="0039048A">
        <w:rPr>
          <w:rFonts w:cs="Arial"/>
          <w:color w:val="000000" w:themeColor="text1" w:themeTint="FF" w:themeShade="FF"/>
        </w:rPr>
        <w:t>tensiones</w:t>
      </w:r>
      <w:r w:rsidRPr="4BB9419C" w:rsidR="0039048A">
        <w:rPr>
          <w:rFonts w:cs="Arial"/>
          <w:color w:val="000000" w:themeColor="text1" w:themeTint="FF" w:themeShade="FF"/>
        </w:rPr>
        <w:t xml:space="preserve">. </w:t>
      </w:r>
      <w:r w:rsidRPr="4BB9419C" w:rsidR="00937C93">
        <w:rPr>
          <w:rFonts w:cs="Arial"/>
          <w:color w:val="000000" w:themeColor="text1" w:themeTint="FF" w:themeShade="FF"/>
        </w:rPr>
        <w:t xml:space="preserve">Un motor </w:t>
      </w:r>
      <w:r w:rsidRPr="4BB9419C" w:rsidR="0039048A">
        <w:rPr>
          <w:rFonts w:cs="Arial"/>
          <w:color w:val="000000" w:themeColor="text1" w:themeTint="FF" w:themeShade="FF"/>
        </w:rPr>
        <w:t xml:space="preserve">de </w:t>
      </w:r>
      <w:r w:rsidRPr="4BB9419C" w:rsidR="0039048A">
        <w:rPr>
          <w:rFonts w:cs="Arial"/>
          <w:color w:val="000000" w:themeColor="text1" w:themeTint="FF" w:themeShade="FF"/>
        </w:rPr>
        <w:t>inducción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937C93">
        <w:rPr>
          <w:rFonts w:cs="Arial"/>
          <w:color w:val="000000" w:themeColor="text1" w:themeTint="FF" w:themeShade="FF"/>
        </w:rPr>
        <w:t xml:space="preserve">auxiliar </w:t>
      </w:r>
      <w:r w:rsidRPr="4BB9419C" w:rsidR="00937C93">
        <w:rPr>
          <w:rFonts w:cs="Arial"/>
          <w:color w:val="000000" w:themeColor="text1" w:themeTint="FF" w:themeShade="FF"/>
        </w:rPr>
        <w:t>con</w:t>
      </w:r>
      <w:hyperlink r:id="R3f435fdea5b84eb1">
        <w:r w:rsidRPr="4BB9419C" w:rsidR="0039048A">
          <w:rPr>
            <w:rStyle w:val="Hyperlink"/>
            <w:rFonts w:cs="Arial"/>
          </w:rPr>
          <w:t xml:space="preserve"> variador de frecuencia (VFD)</w:t>
        </w:r>
      </w:hyperlink>
      <w:r w:rsidRPr="4BB9419C" w:rsidR="00937C93">
        <w:rPr>
          <w:rFonts w:cs="Arial"/>
          <w:color w:val="000000" w:themeColor="text1" w:themeTint="FF" w:themeShade="FF"/>
        </w:rPr>
        <w:t xml:space="preserve"> —un motor auxiliar </w:t>
      </w:r>
      <w:r w:rsidRPr="4BB9419C" w:rsidR="00937C93">
        <w:rPr>
          <w:rFonts w:cs="Arial"/>
          <w:color w:val="000000" w:themeColor="text1" w:themeTint="FF" w:themeShade="FF"/>
        </w:rPr>
        <w:t>más</w:t>
      </w:r>
      <w:r w:rsidRPr="4BB9419C" w:rsidR="00937C93">
        <w:rPr>
          <w:rFonts w:cs="Arial"/>
          <w:color w:val="000000" w:themeColor="text1" w:themeTint="FF" w:themeShade="FF"/>
        </w:rPr>
        <w:t xml:space="preserve"> </w:t>
      </w:r>
      <w:r w:rsidRPr="4BB9419C" w:rsidR="00937C93">
        <w:rPr>
          <w:rFonts w:cs="Arial"/>
          <w:color w:val="000000" w:themeColor="text1" w:themeTint="FF" w:themeShade="FF"/>
        </w:rPr>
        <w:t>pequeño</w:t>
      </w:r>
      <w:r w:rsidRPr="4BB9419C" w:rsidR="00937C93">
        <w:rPr>
          <w:rFonts w:cs="Arial"/>
          <w:color w:val="000000" w:themeColor="text1" w:themeTint="FF" w:themeShade="FF"/>
        </w:rPr>
        <w:t xml:space="preserve"> </w:t>
      </w:r>
      <w:r w:rsidRPr="4BB9419C" w:rsidR="00937C93">
        <w:rPr>
          <w:rFonts w:cs="Arial"/>
          <w:color w:val="000000" w:themeColor="text1" w:themeTint="FF" w:themeShade="FF"/>
        </w:rPr>
        <w:t>utilizado</w:t>
      </w:r>
      <w:r w:rsidRPr="4BB9419C" w:rsidR="00937C93">
        <w:rPr>
          <w:rFonts w:cs="Arial"/>
          <w:color w:val="000000" w:themeColor="text1" w:themeTint="FF" w:themeShade="FF"/>
        </w:rPr>
        <w:t xml:space="preserve"> para </w:t>
      </w:r>
      <w:r w:rsidRPr="4BB9419C" w:rsidR="00937C93">
        <w:rPr>
          <w:rFonts w:cs="Arial"/>
          <w:color w:val="000000" w:themeColor="text1" w:themeTint="FF" w:themeShade="FF"/>
        </w:rPr>
        <w:t>accionar</w:t>
      </w:r>
      <w:r w:rsidRPr="4BB9419C" w:rsidR="00937C93">
        <w:rPr>
          <w:rFonts w:cs="Arial"/>
          <w:color w:val="000000" w:themeColor="text1" w:themeTint="FF" w:themeShade="FF"/>
        </w:rPr>
        <w:t xml:space="preserve"> un motor o </w:t>
      </w:r>
      <w:r w:rsidRPr="4BB9419C" w:rsidR="00937C93">
        <w:rPr>
          <w:rFonts w:cs="Arial"/>
          <w:color w:val="000000" w:themeColor="text1" w:themeTint="FF" w:themeShade="FF"/>
        </w:rPr>
        <w:t>sistema</w:t>
      </w:r>
      <w:r w:rsidRPr="4BB9419C" w:rsidR="00937C93">
        <w:rPr>
          <w:rFonts w:cs="Arial"/>
          <w:color w:val="000000" w:themeColor="text1" w:themeTint="FF" w:themeShade="FF"/>
        </w:rPr>
        <w:t xml:space="preserve"> </w:t>
      </w:r>
      <w:r w:rsidRPr="4BB9419C" w:rsidR="00937C93">
        <w:rPr>
          <w:rFonts w:cs="Arial"/>
          <w:color w:val="000000" w:themeColor="text1" w:themeTint="FF" w:themeShade="FF"/>
        </w:rPr>
        <w:t>más</w:t>
      </w:r>
      <w:r w:rsidRPr="4BB9419C" w:rsidR="00937C93">
        <w:rPr>
          <w:rFonts w:cs="Arial"/>
          <w:color w:val="000000" w:themeColor="text1" w:themeTint="FF" w:themeShade="FF"/>
        </w:rPr>
        <w:t xml:space="preserve"> </w:t>
      </w:r>
      <w:r w:rsidRPr="4BB9419C" w:rsidR="00937C93">
        <w:rPr>
          <w:rFonts w:cs="Arial"/>
          <w:color w:val="000000" w:themeColor="text1" w:themeTint="FF" w:themeShade="FF"/>
        </w:rPr>
        <w:t xml:space="preserve">grande— </w:t>
      </w:r>
      <w:r w:rsidRPr="4BB9419C" w:rsidR="0039048A">
        <w:rPr>
          <w:rFonts w:cs="Arial"/>
          <w:color w:val="000000" w:themeColor="text1" w:themeTint="FF" w:themeShade="FF"/>
        </w:rPr>
        <w:t>acelera</w:t>
      </w:r>
      <w:r w:rsidRPr="4BB9419C" w:rsidR="0039048A">
        <w:rPr>
          <w:rFonts w:cs="Arial"/>
          <w:color w:val="000000" w:themeColor="text1" w:themeTint="FF" w:themeShade="FF"/>
        </w:rPr>
        <w:t xml:space="preserve"> el </w:t>
      </w:r>
      <w:r w:rsidRPr="4BB9419C" w:rsidR="0039048A">
        <w:rPr>
          <w:rFonts w:cs="Arial"/>
          <w:color w:val="000000" w:themeColor="text1" w:themeTint="FF" w:themeShade="FF"/>
        </w:rPr>
        <w:t>condensador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síncrono</w:t>
      </w:r>
      <w:r w:rsidRPr="4BB9419C" w:rsidR="0039048A">
        <w:rPr>
          <w:rFonts w:cs="Arial"/>
          <w:color w:val="000000" w:themeColor="text1" w:themeTint="FF" w:themeShade="FF"/>
        </w:rPr>
        <w:t xml:space="preserve"> hasta </w:t>
      </w:r>
      <w:r w:rsidRPr="4BB9419C" w:rsidR="0039048A">
        <w:rPr>
          <w:rFonts w:cs="Arial"/>
          <w:color w:val="000000" w:themeColor="text1" w:themeTint="FF" w:themeShade="FF"/>
        </w:rPr>
        <w:t>alcanzar</w:t>
      </w:r>
      <w:r w:rsidRPr="4BB9419C" w:rsidR="0039048A">
        <w:rPr>
          <w:rFonts w:cs="Arial"/>
          <w:color w:val="000000" w:themeColor="text1" w:themeTint="FF" w:themeShade="FF"/>
        </w:rPr>
        <w:t xml:space="preserve"> la velocidad</w:t>
      </w:r>
      <w:r w:rsidRPr="4BB9419C" w:rsidR="5A0C0E24">
        <w:rPr>
          <w:rFonts w:cs="Arial"/>
          <w:color w:val="000000" w:themeColor="text1" w:themeTint="FF" w:themeShade="FF"/>
        </w:rPr>
        <w:t xml:space="preserve"> nominal</w:t>
      </w:r>
      <w:r w:rsidRPr="4BB9419C" w:rsidR="0039048A">
        <w:rPr>
          <w:rFonts w:cs="Arial"/>
          <w:color w:val="000000" w:themeColor="text1" w:themeTint="FF" w:themeShade="FF"/>
        </w:rPr>
        <w:t xml:space="preserve">, </w:t>
      </w:r>
      <w:r w:rsidRPr="4BB9419C" w:rsidR="0039048A">
        <w:rPr>
          <w:rFonts w:cs="Arial"/>
          <w:color w:val="000000" w:themeColor="text1" w:themeTint="FF" w:themeShade="FF"/>
        </w:rPr>
        <w:t>minimizando</w:t>
      </w:r>
      <w:r w:rsidRPr="4BB9419C" w:rsidR="0039048A">
        <w:rPr>
          <w:rFonts w:cs="Arial"/>
          <w:color w:val="000000" w:themeColor="text1" w:themeTint="FF" w:themeShade="FF"/>
        </w:rPr>
        <w:t xml:space="preserve"> el </w:t>
      </w:r>
      <w:r w:rsidRPr="4BB9419C" w:rsidR="0039048A">
        <w:rPr>
          <w:rFonts w:cs="Arial"/>
          <w:color w:val="000000" w:themeColor="text1" w:themeTint="FF" w:themeShade="FF"/>
        </w:rPr>
        <w:t>impacto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en</w:t>
      </w:r>
      <w:r w:rsidRPr="4BB9419C" w:rsidR="0039048A">
        <w:rPr>
          <w:rFonts w:cs="Arial"/>
          <w:color w:val="000000" w:themeColor="text1" w:themeTint="FF" w:themeShade="FF"/>
        </w:rPr>
        <w:t xml:space="preserve"> la red. </w:t>
      </w:r>
      <w:r w:rsidRPr="4BB9419C" w:rsidR="0039048A">
        <w:rPr>
          <w:rFonts w:cs="Arial"/>
          <w:color w:val="000000" w:themeColor="text1" w:themeTint="FF" w:themeShade="FF"/>
        </w:rPr>
        <w:t>Funciona</w:t>
      </w:r>
      <w:r w:rsidRPr="4BB9419C" w:rsidR="0039048A">
        <w:rPr>
          <w:rFonts w:cs="Arial"/>
          <w:color w:val="000000" w:themeColor="text1" w:themeTint="FF" w:themeShade="FF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</w:rPr>
        <w:t>manera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eficiente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en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diversas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condiciones</w:t>
      </w:r>
      <w:r w:rsidRPr="4BB9419C" w:rsidR="0039048A">
        <w:rPr>
          <w:rFonts w:cs="Arial"/>
          <w:color w:val="000000" w:themeColor="text1" w:themeTint="FF" w:themeShade="FF"/>
        </w:rPr>
        <w:t xml:space="preserve"> gracias a </w:t>
      </w:r>
      <w:r w:rsidRPr="4BB9419C" w:rsidR="0039048A">
        <w:rPr>
          <w:rFonts w:cs="Arial"/>
          <w:color w:val="000000" w:themeColor="text1" w:themeTint="FF" w:themeShade="FF"/>
        </w:rPr>
        <w:t>opciones</w:t>
      </w:r>
      <w:r w:rsidRPr="4BB9419C" w:rsidR="0039048A">
        <w:rPr>
          <w:rFonts w:cs="Arial"/>
          <w:color w:val="000000" w:themeColor="text1" w:themeTint="FF" w:themeShade="FF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</w:rPr>
        <w:t>refrigeración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avanzadas</w:t>
      </w:r>
      <w:r w:rsidRPr="4BB9419C" w:rsidR="0039048A">
        <w:rPr>
          <w:rFonts w:cs="Arial"/>
          <w:color w:val="000000" w:themeColor="text1" w:themeTint="FF" w:themeShade="FF"/>
        </w:rPr>
        <w:t xml:space="preserve"> y a un </w:t>
      </w:r>
      <w:r w:rsidRPr="4BB9419C" w:rsidR="0039048A">
        <w:rPr>
          <w:rFonts w:cs="Arial"/>
          <w:color w:val="000000" w:themeColor="text1" w:themeTint="FF" w:themeShade="FF"/>
        </w:rPr>
        <w:t>condensador</w:t>
      </w:r>
      <w:r w:rsidRPr="4BB9419C" w:rsidR="0039048A">
        <w:rPr>
          <w:rFonts w:cs="Arial"/>
          <w:color w:val="000000" w:themeColor="text1" w:themeTint="FF" w:themeShade="FF"/>
        </w:rPr>
        <w:t xml:space="preserve"> con </w:t>
      </w:r>
      <w:r w:rsidRPr="4BB9419C" w:rsidR="0039048A">
        <w:rPr>
          <w:rFonts w:cs="Arial"/>
          <w:color w:val="000000" w:themeColor="text1" w:themeTint="FF" w:themeShade="FF"/>
        </w:rPr>
        <w:t>clasificación</w:t>
      </w:r>
      <w:r w:rsidRPr="4BB9419C" w:rsidR="0039048A">
        <w:rPr>
          <w:rFonts w:cs="Arial"/>
          <w:color w:val="000000" w:themeColor="text1" w:themeTint="FF" w:themeShade="FF"/>
        </w:rPr>
        <w:t xml:space="preserve"> IP23 a IP55 para la </w:t>
      </w:r>
      <w:r w:rsidRPr="4BB9419C" w:rsidR="0039048A">
        <w:rPr>
          <w:rFonts w:cs="Arial"/>
          <w:color w:val="000000" w:themeColor="text1" w:themeTint="FF" w:themeShade="FF"/>
        </w:rPr>
        <w:t>protección</w:t>
      </w:r>
      <w:r w:rsidRPr="4BB9419C" w:rsidR="0039048A">
        <w:rPr>
          <w:rFonts w:cs="Arial"/>
          <w:color w:val="000000" w:themeColor="text1" w:themeTint="FF" w:themeShade="FF"/>
        </w:rPr>
        <w:t xml:space="preserve"> contra el </w:t>
      </w:r>
      <w:r w:rsidRPr="4BB9419C" w:rsidR="0039048A">
        <w:rPr>
          <w:rFonts w:cs="Arial"/>
          <w:color w:val="000000" w:themeColor="text1" w:themeTint="FF" w:themeShade="FF"/>
        </w:rPr>
        <w:t>polvo</w:t>
      </w:r>
      <w:r w:rsidRPr="4BB9419C" w:rsidR="0039048A">
        <w:rPr>
          <w:rFonts w:cs="Arial"/>
          <w:color w:val="000000" w:themeColor="text1" w:themeTint="FF" w:themeShade="FF"/>
        </w:rPr>
        <w:t xml:space="preserve"> y la </w:t>
      </w:r>
      <w:r w:rsidRPr="4BB9419C" w:rsidR="0039048A">
        <w:rPr>
          <w:rFonts w:cs="Arial"/>
          <w:color w:val="000000" w:themeColor="text1" w:themeTint="FF" w:themeShade="FF"/>
        </w:rPr>
        <w:t>humedad</w:t>
      </w:r>
      <w:r w:rsidRPr="4BB9419C" w:rsidR="0039048A">
        <w:rPr>
          <w:rFonts w:cs="Arial"/>
          <w:color w:val="000000" w:themeColor="text1" w:themeTint="FF" w:themeShade="FF"/>
        </w:rPr>
        <w:t xml:space="preserve">, </w:t>
      </w:r>
      <w:r w:rsidRPr="4BB9419C" w:rsidR="0039048A">
        <w:rPr>
          <w:rFonts w:cs="Arial"/>
          <w:color w:val="000000" w:themeColor="text1" w:themeTint="FF" w:themeShade="FF"/>
        </w:rPr>
        <w:t>mientras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que</w:t>
      </w:r>
      <w:r w:rsidRPr="4BB9419C" w:rsidR="0039048A">
        <w:rPr>
          <w:rFonts w:cs="Arial"/>
          <w:color w:val="000000" w:themeColor="text1" w:themeTint="FF" w:themeShade="FF"/>
        </w:rPr>
        <w:t xml:space="preserve"> las </w:t>
      </w:r>
      <w:r w:rsidRPr="4BB9419C" w:rsidR="0039048A">
        <w:rPr>
          <w:rFonts w:cs="Arial"/>
          <w:color w:val="000000" w:themeColor="text1" w:themeTint="FF" w:themeShade="FF"/>
        </w:rPr>
        <w:t>múltiples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configuraciones</w:t>
      </w:r>
      <w:r w:rsidRPr="4BB9419C" w:rsidR="0039048A">
        <w:rPr>
          <w:rFonts w:cs="Arial"/>
          <w:color w:val="000000" w:themeColor="text1" w:themeTint="FF" w:themeShade="FF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</w:rPr>
        <w:t>montaje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garantizan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una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instalación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sencilla</w:t>
      </w:r>
      <w:r w:rsidRPr="4BB9419C" w:rsidR="0039048A">
        <w:rPr>
          <w:rFonts w:cs="Arial"/>
          <w:color w:val="000000" w:themeColor="text1" w:themeTint="FF" w:themeShade="FF"/>
        </w:rPr>
        <w:t xml:space="preserve"> y la </w:t>
      </w:r>
      <w:r w:rsidRPr="4BB9419C" w:rsidR="0039048A">
        <w:rPr>
          <w:rFonts w:cs="Arial"/>
          <w:color w:val="000000" w:themeColor="text1" w:themeTint="FF" w:themeShade="FF"/>
        </w:rPr>
        <w:t>compatibilidad</w:t>
      </w:r>
      <w:r w:rsidRPr="4BB9419C" w:rsidR="0039048A">
        <w:rPr>
          <w:rFonts w:cs="Arial"/>
          <w:color w:val="000000" w:themeColor="text1" w:themeTint="FF" w:themeShade="FF"/>
        </w:rPr>
        <w:t xml:space="preserve"> con la </w:t>
      </w:r>
      <w:r w:rsidRPr="4BB9419C" w:rsidR="0039048A">
        <w:rPr>
          <w:rFonts w:cs="Arial"/>
          <w:color w:val="000000" w:themeColor="text1" w:themeTint="FF" w:themeShade="FF"/>
        </w:rPr>
        <w:t>infraestructura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eléctrica</w:t>
      </w:r>
      <w:r w:rsidRPr="4BB9419C" w:rsidR="0039048A">
        <w:rPr>
          <w:rFonts w:cs="Arial"/>
          <w:color w:val="000000" w:themeColor="text1" w:themeTint="FF" w:themeShade="FF"/>
        </w:rPr>
        <w:t xml:space="preserve"> </w:t>
      </w:r>
      <w:r w:rsidRPr="4BB9419C" w:rsidR="0039048A">
        <w:rPr>
          <w:rFonts w:cs="Arial"/>
          <w:color w:val="000000" w:themeColor="text1" w:themeTint="FF" w:themeShade="FF"/>
        </w:rPr>
        <w:t>existente</w:t>
      </w:r>
      <w:r w:rsidRPr="4BB9419C" w:rsidR="0039048A">
        <w:rPr>
          <w:rFonts w:cs="Arial"/>
          <w:color w:val="000000" w:themeColor="text1" w:themeTint="FF" w:themeShade="FF"/>
        </w:rPr>
        <w:t>.</w:t>
      </w:r>
    </w:p>
    <w:p w:rsidRPr="0039048A" w:rsidR="0039048A" w:rsidP="0039048A" w:rsidRDefault="0039048A" w14:paraId="2C183DE9" w14:textId="77777777">
      <w:pPr>
        <w:spacing w:line="480" w:lineRule="auto"/>
        <w:jc w:val="both"/>
        <w:rPr>
          <w:rFonts w:cs="Arial"/>
          <w:color w:val="000000" w:themeColor="text1"/>
        </w:rPr>
      </w:pPr>
    </w:p>
    <w:p w:rsidR="0039048A" w:rsidP="4BB9419C" w:rsidRDefault="0039048A" w14:paraId="6EF2EA1C" w14:textId="7D97CE94">
      <w:pPr>
        <w:spacing w:line="480" w:lineRule="auto"/>
        <w:jc w:val="both"/>
        <w:rPr>
          <w:rFonts w:cs="Arial"/>
          <w:color w:val="000000" w:themeColor="text1"/>
          <w:lang w:val="es-ES"/>
        </w:rPr>
      </w:pP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medida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que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se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acelera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la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adopción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la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energía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limpia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, la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demanda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energía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renovable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está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superando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a la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oferta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,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creando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un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déficit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recursos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que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amenaza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la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estabilidad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la red. </w:t>
      </w:r>
      <w:r w:rsidRPr="4BB9419C" w:rsidR="0039048A">
        <w:rPr>
          <w:rFonts w:cs="Arial"/>
          <w:i w:val="1"/>
          <w:iCs w:val="1"/>
          <w:color w:val="000000" w:themeColor="text1" w:themeTint="FF" w:themeShade="FF"/>
          <w:lang w:val="es-ES"/>
        </w:rPr>
        <w:t xml:space="preserve">El </w:t>
      </w:r>
      <w:r w:rsidRPr="4BB9419C" w:rsidR="0039048A">
        <w:rPr>
          <w:rFonts w:cs="Arial"/>
          <w:i w:val="1"/>
          <w:iCs w:val="1"/>
          <w:color w:val="000000" w:themeColor="text1" w:themeTint="FF" w:themeShade="FF"/>
          <w:lang w:val="es-ES"/>
        </w:rPr>
        <w:t>informe</w:t>
      </w:r>
      <w:r w:rsidRPr="4BB9419C" w:rsidR="0039048A">
        <w:rPr>
          <w:rFonts w:cs="Arial"/>
          <w:i w:val="1"/>
          <w:iCs w:val="1"/>
          <w:color w:val="000000" w:themeColor="text1" w:themeTint="FF" w:themeShade="FF"/>
          <w:lang w:val="es-ES"/>
        </w:rPr>
        <w:t xml:space="preserve"> «2025 Renewable Energy Industry Outlook» 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de Deloitte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destaca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la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urgente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necesidad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reforzar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las redes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eléctricas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para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hacer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frente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a</w:t>
      </w:r>
      <w:r w:rsidRPr="4BB9419C" w:rsidR="64DC6351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este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reto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. En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respuesta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ello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, el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condensador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síncrono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rotativo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WEG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ofrece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una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solución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fiable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y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eficiente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para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mitigar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las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fluctuaciones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tensión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,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integrar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las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energías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renovables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y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garantizar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una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red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estable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 y </w:t>
      </w:r>
      <w:r w:rsidRPr="4BB9419C" w:rsidR="0039048A">
        <w:rPr>
          <w:rFonts w:cs="Arial"/>
          <w:color w:val="000000" w:themeColor="text1" w:themeTint="FF" w:themeShade="FF"/>
          <w:lang w:val="es-ES"/>
        </w:rPr>
        <w:t>resiliente</w:t>
      </w:r>
      <w:r w:rsidRPr="4BB9419C" w:rsidR="0039048A">
        <w:rPr>
          <w:rFonts w:cs="Arial"/>
          <w:color w:val="000000" w:themeColor="text1" w:themeTint="FF" w:themeShade="FF"/>
          <w:lang w:val="es-ES"/>
        </w:rPr>
        <w:t xml:space="preserve">.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Además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, </w:t>
      </w:r>
      <w:hyperlink r:id="Rc13f9d8fdf094682">
        <w:r w:rsidRPr="4BB9419C" w:rsidR="00937C93">
          <w:rPr>
            <w:rStyle w:val="Hyperlink"/>
            <w:rFonts w:cs="Arial"/>
            <w:lang w:val="es-ES"/>
          </w:rPr>
          <w:t>el sistema de almacenamiento de energía en baterías (BESS) de WEG</w:t>
        </w:r>
      </w:hyperlink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mejora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aún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más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la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flexibilidad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de la red al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almacenar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el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exceso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energía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renovable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y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dar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soporte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en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los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periodos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de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máxima</w:t>
      </w:r>
      <w:r w:rsidRPr="4BB9419C" w:rsidR="00937C93">
        <w:rPr>
          <w:rFonts w:cs="Arial"/>
          <w:color w:val="000000" w:themeColor="text1" w:themeTint="FF" w:themeShade="FF"/>
          <w:lang w:val="es-ES"/>
        </w:rPr>
        <w:t xml:space="preserve"> </w:t>
      </w:r>
      <w:r w:rsidRPr="4BB9419C" w:rsidR="00937C93">
        <w:rPr>
          <w:rFonts w:cs="Arial"/>
          <w:color w:val="000000" w:themeColor="text1" w:themeTint="FF" w:themeShade="FF"/>
          <w:lang w:val="es-ES"/>
        </w:rPr>
        <w:t>demanda</w:t>
      </w:r>
      <w:r w:rsidRPr="4BB9419C" w:rsidR="00937C93">
        <w:rPr>
          <w:rFonts w:cs="Arial"/>
          <w:color w:val="000000" w:themeColor="text1" w:themeTint="FF" w:themeShade="FF"/>
          <w:lang w:val="es-ES"/>
        </w:rPr>
        <w:t>.</w:t>
      </w:r>
    </w:p>
    <w:p w:rsidRPr="0039048A" w:rsidR="0039048A" w:rsidP="0039048A" w:rsidRDefault="0039048A" w14:paraId="14E2966D" w14:textId="77777777">
      <w:pPr>
        <w:spacing w:line="480" w:lineRule="auto"/>
        <w:jc w:val="both"/>
        <w:rPr>
          <w:rFonts w:cs="Arial"/>
          <w:color w:val="000000" w:themeColor="text1"/>
        </w:rPr>
      </w:pPr>
    </w:p>
    <w:p w:rsidRPr="0039048A" w:rsidR="0039048A" w:rsidP="06D34C13" w:rsidRDefault="0039048A" w14:paraId="5F0D3940" w14:textId="195A37DA">
      <w:pPr>
        <w:spacing w:line="480" w:lineRule="auto"/>
        <w:jc w:val="both"/>
        <w:rPr>
          <w:rFonts w:cs="Arial"/>
          <w:i/>
          <w:iCs/>
          <w:color w:val="000000" w:themeColor="text1"/>
        </w:rPr>
      </w:pPr>
      <w:r w:rsidRPr="06D34C13">
        <w:rPr>
          <w:rFonts w:cs="Arial"/>
          <w:i/>
          <w:iCs/>
          <w:color w:val="000000" w:themeColor="text1"/>
        </w:rPr>
        <w:t xml:space="preserve">Para obtener más información sobre </w:t>
      </w:r>
      <w:r w:rsidRPr="06D34C13">
        <w:rPr>
          <w:rFonts w:cs="Arial"/>
          <w:i/>
          <w:iCs/>
          <w:color w:val="000000" w:themeColor="text1"/>
        </w:rPr>
        <w:t xml:space="preserve">la tecnología </w:t>
      </w:r>
      <w:hyperlink r:id="rId16">
        <w:r w:rsidRPr="06D34C13">
          <w:rPr>
            <w:rStyle w:val="Hyperlink"/>
            <w:rFonts w:cs="Arial"/>
            <w:i/>
            <w:iCs/>
          </w:rPr>
          <w:t xml:space="preserve">del condensador síncrono rotativo</w:t>
        </w:r>
      </w:hyperlink>
      <w:r w:rsidRPr="06D34C13">
        <w:rPr>
          <w:rFonts w:cs="Arial"/>
          <w:i/>
          <w:iCs/>
          <w:color w:val="000000" w:themeColor="text1"/>
        </w:rPr>
        <w:t xml:space="preserve"> y su papel en la estabilidad de la red eléctrica, visite el sitio web de WEG.</w:t>
      </w:r>
    </w:p>
    <w:p w:rsidR="003E5474" w:rsidP="003E5474" w:rsidRDefault="003E5474" w14:paraId="5D2DCB52" w14:textId="77777777"/>
    <w:p w:rsidRPr="005076D1" w:rsidR="0039048A" w:rsidP="003E5474" w:rsidRDefault="0039048A" w14:paraId="41147805" w14:textId="77777777">
      <w:pPr>
        <w:rPr>
          <w:rFonts w:cs="Arial"/>
        </w:rPr>
      </w:pPr>
    </w:p>
    <w:p w:rsidRPr="005076D1" w:rsidR="00E03D45" w:rsidP="00E03D45" w:rsidRDefault="00E03D45" w14:paraId="5D2DCB53" w14:textId="1F46948C">
      <w:pPr>
        <w:rPr>
          <w:rFonts w:eastAsia="MS Mincho" w:cs="Arial"/>
        </w:rPr>
      </w:pPr>
      <w:r w:rsidRPr="00F603CF">
        <w:rPr>
          <w:rFonts w:eastAsia="MS Mincho" w:cs="Arial"/>
          <w:b/>
          <w:color w:val="4472C4"/>
        </w:rPr>
        <w:t xml:space="preserve">Fin:</w:t>
      </w:r>
      <w:r w:rsidR="00C73480">
        <w:rPr>
          <w:rFonts w:eastAsia="MS Mincho" w:cs="Arial"/>
        </w:rPr>
        <w:t xml:space="preserve"> 938 </w:t>
      </w:r>
      <w:r w:rsidRPr="005076D1">
        <w:rPr>
          <w:rFonts w:eastAsia="MS Mincho" w:cs="Arial"/>
        </w:rPr>
        <w:t xml:space="preserve">palabras</w:t>
      </w:r>
    </w:p>
    <w:p w:rsidRPr="008A6A7A" w:rsidR="00E03D45" w:rsidP="008A6A7A" w:rsidRDefault="00E03D45" w14:paraId="5D2DCB54" w14:textId="77777777">
      <w:pPr>
        <w:rPr>
          <w:rFonts w:eastAsia="MS Mincho"/>
        </w:rPr>
      </w:pPr>
    </w:p>
    <w:p w:rsidR="00C8111D" w:rsidP="00C8111D" w:rsidRDefault="00924FCE" w14:paraId="5BB9A9A0" w14:textId="77777777">
      <w:r w:rsidRPr="00F603CF">
        <w:rPr>
          <w:rFonts w:eastAsia="MS Mincho"/>
          <w:b/>
          <w:color w:val="4472C4"/>
        </w:rPr>
        <w:t xml:space="preserve">Pie de foto: </w:t>
      </w:r>
    </w:p>
    <w:p w:rsidR="00E04F24" w:rsidP="00C8111D" w:rsidRDefault="00E04F24" w14:paraId="4CACD2F4" w14:textId="23963A78">
      <w:pPr>
        <w:spacing w:line="480" w:lineRule="auto"/>
      </w:pPr>
      <w:r w:rsidRPr="00C8111D">
        <w:t xml:space="preserve">Imagen </w:t>
      </w:r>
      <w:r w:rsidRPr="00C8111D" w:rsidR="00C8111D">
        <w:t xml:space="preserve">uno</w:t>
      </w:r>
      <w:r>
        <w:rPr>
          <w:i/>
          <w:iCs/>
        </w:rPr>
        <w:t xml:space="preserve">: </w:t>
      </w:r>
      <w:r w:rsidR="00C8111D">
        <w:rPr>
          <w:i/>
          <w:iCs/>
        </w:rPr>
        <w:t xml:space="preserve">la tecnología </w:t>
      </w:r>
      <w:r w:rsidRPr="00C8111D" w:rsidR="00C8111D">
        <w:rPr>
          <w:i/>
          <w:iCs/>
        </w:rPr>
        <w:t xml:space="preserve">de condensadores síncronos rotativos </w:t>
      </w:r>
      <w:r w:rsidRPr="00C8111D" w:rsidR="00C8111D">
        <w:rPr>
          <w:i/>
          <w:iCs/>
        </w:rPr>
        <w:t xml:space="preserve">mejora la estabilidad de la red equilibrando la potencia reactiva y la potencia activa, lo que garantiza un flujo constante y fiable de energía renovable.</w:t>
      </w:r>
    </w:p>
    <w:p w:rsidRPr="00C8111D" w:rsidR="00C8111D" w:rsidP="00C8111D" w:rsidRDefault="00C8111D" w14:paraId="692AE2DC" w14:textId="77777777">
      <w:pPr>
        <w:spacing w:line="480" w:lineRule="auto"/>
      </w:pPr>
    </w:p>
    <w:p w:rsidRPr="00C8111D" w:rsidR="00E04F24" w:rsidP="00C8111D" w:rsidRDefault="00E04F24" w14:paraId="6FDC2940" w14:textId="554DC4D1">
      <w:pPr>
        <w:spacing w:line="480" w:lineRule="auto"/>
        <w:rPr>
          <w:i/>
          <w:iCs/>
        </w:rPr>
      </w:pPr>
      <w:r w:rsidRPr="00C8111D">
        <w:t xml:space="preserve">Imagen dos</w:t>
      </w:r>
      <w:r>
        <w:rPr>
          <w:i/>
          <w:iCs/>
        </w:rPr>
        <w:t xml:space="preserve">: </w:t>
      </w:r>
      <w:r w:rsidRPr="00C8111D">
        <w:rPr>
          <w:i/>
          <w:iCs/>
        </w:rPr>
        <w:t xml:space="preserve">el condensador síncrono rotativo de WEG está diseñado para regular los niveles de tensión, estabilizar las fuentes de energía renovable y optimizar la eficiencia del sistema eléctrico.</w:t>
      </w:r>
    </w:p>
    <w:p w:rsidR="00E04F24" w:rsidP="00E04F24" w:rsidRDefault="00E04F24" w14:paraId="7F1487F7" w14:textId="77777777">
      <w:pPr>
        <w:spacing w:line="480" w:lineRule="auto"/>
      </w:pPr>
    </w:p>
    <w:p w:rsidRPr="008A6A7A" w:rsidR="00E03D45" w:rsidP="008A6A7A" w:rsidRDefault="00E03D45" w14:paraId="5D2DCB57" w14:textId="77777777">
      <w:r w:rsidRPr="00F603CF">
        <w:rPr>
          <w:rFonts w:eastAsia="MS Mincho"/>
          <w:b/>
          <w:bCs/>
          <w:color w:val="4472C4"/>
        </w:rPr>
        <w:t xml:space="preserve">Nota del editor: </w:t>
      </w:r>
      <w:r w:rsidRPr="008A6A7A">
        <w:t xml:space="preserve">Si desea mantenerse al día con el material de prensa, los contenidos de opinión y los casos prácticos de </w:t>
      </w:r>
      <w:r w:rsidRPr="008A6A7A" w:rsidR="008A6A7A">
        <w:t xml:space="preserve">WEG</w:t>
      </w:r>
      <w:r w:rsidRPr="008A6A7A">
        <w:t xml:space="preserve">, visite</w:t>
      </w:r>
      <w:hyperlink w:history="1" r:id="rId17">
        <w:r w:rsidRPr="008A6A7A" w:rsidR="008A6A7A">
          <w:rPr>
            <w:rStyle w:val="Hyperlink"/>
            <w:rFonts w:cs="Arial"/>
          </w:rPr>
          <w:t xml:space="preserve"> https://www.weg.net/institutional/MR/en/all-news/all</w:t>
        </w:r>
      </w:hyperlink>
    </w:p>
    <w:p w:rsidRPr="008A6A7A" w:rsidR="00E03D45" w:rsidP="008A6A7A" w:rsidRDefault="00E03D45" w14:paraId="5D2DCB58" w14:textId="77777777">
      <w:pPr>
        <w:rPr>
          <w:rFonts w:eastAsia="MS Mincho"/>
          <w:b/>
          <w:bCs/>
          <w:color w:val="00529C"/>
        </w:rPr>
      </w:pPr>
    </w:p>
    <w:p w:rsidRPr="008A6A7A" w:rsidR="008A6A7A" w:rsidP="008A6A7A" w:rsidRDefault="00E03D45" w14:paraId="5D2DCB59" w14:textId="77777777">
      <w:pPr>
        <w:rPr>
          <w:color w:val="000000"/>
          <w:lang w:eastAsia="en-GB"/>
        </w:rPr>
      </w:pPr>
      <w:r w:rsidRPr="00F603CF">
        <w:rPr>
          <w:rFonts w:eastAsia="MS Mincho"/>
          <w:b/>
          <w:bCs/>
          <w:color w:val="4472C4"/>
        </w:rPr>
        <w:t xml:space="preserve">Para más información, póngase en contacto con: </w:t>
      </w:r>
      <w:r w:rsidRPr="008A6A7A" w:rsidR="008A6A7A">
        <w:rPr>
          <w:color w:val="000000"/>
          <w:lang w:eastAsia="en-GB"/>
        </w:rPr>
        <w:t xml:space="preserve">Marek Lukaszczyk</w:t>
      </w:r>
    </w:p>
    <w:p w:rsidRPr="008A6A7A" w:rsidR="005076D1" w:rsidP="008A6A7A" w:rsidRDefault="008A6A7A" w14:paraId="5D2DCB5A" w14:textId="77777777">
      <w:pPr>
        <w:rPr>
          <w:color w:val="E6950B"/>
          <w:shd w:val="clear" w:color="auto" w:fill="FFFFFF"/>
        </w:rPr>
      </w:pPr>
      <w:r w:rsidRPr="008A6A7A">
        <w:rPr>
          <w:color w:val="000000"/>
          <w:lang w:eastAsia="en-GB"/>
        </w:rPr>
        <w:t xml:space="preserve">Broad Ground Road, Lakeside, Redditch, Worcestershire B98 8YP</w:t>
      </w:r>
    </w:p>
    <w:p w:rsidRPr="008A6A7A" w:rsidR="00E03D45" w:rsidP="008A6A7A" w:rsidRDefault="00E03D45" w14:paraId="5D2DCB5B" w14:textId="77777777">
      <w:pPr>
        <w:rPr>
          <w:rFonts w:eastAsia="MS Mincho"/>
          <w:bCs/>
        </w:rPr>
      </w:pPr>
      <w:r w:rsidRPr="00F603CF">
        <w:rPr>
          <w:rFonts w:eastAsia="MS Mincho"/>
          <w:b/>
          <w:color w:val="4472C4"/>
          <w:lang w:val="en-US"/>
        </w:rPr>
        <w:t xml:space="preserve">www:</w:t>
      </w:r>
      <w:hyperlink w:history="1" r:id="rId18">
        <w:r w:rsidRPr="008A6A7A" w:rsidR="008A6A7A">
          <w:rPr>
            <w:rStyle w:val="Hyperlink"/>
            <w:rFonts w:cs="Arial"/>
          </w:rPr>
          <w:t xml:space="preserve"> www.weg.net</w:t>
        </w:r>
      </w:hyperlink>
      <w:r w:rsidRPr="008A6A7A" w:rsidR="005076D1">
        <w:rPr>
          <w:bCs/>
        </w:rPr>
        <w:t xml:space="preserve"> </w:t>
      </w:r>
    </w:p>
    <w:p w:rsidRPr="008A6A7A" w:rsidR="00E03D45" w:rsidP="008A6A7A" w:rsidRDefault="00E03D45" w14:paraId="5D2DCB5C" w14:textId="77777777">
      <w:pPr>
        <w:rPr>
          <w:lang w:val="it-IT"/>
        </w:rPr>
      </w:pPr>
      <w:r w:rsidRPr="00F603CF">
        <w:rPr>
          <w:rFonts w:eastAsia="MS Mincho"/>
          <w:b/>
          <w:bCs/>
          <w:color w:val="4472C4"/>
          <w:lang w:val="it-IT"/>
        </w:rPr>
        <w:t xml:space="preserve">Correo electrónico</w:t>
      </w:r>
      <w:r w:rsidRPr="00F603CF">
        <w:rPr>
          <w:rFonts w:eastAsia="MS Mincho"/>
          <w:b/>
          <w:color w:val="4472C4"/>
          <w:lang w:val="it-IT"/>
        </w:rPr>
        <w:t xml:space="preserve">: </w:t>
      </w:r>
      <w:hyperlink w:history="1" r:id="rId19">
        <w:r w:rsidRPr="008A6A7A" w:rsidR="008A6A7A">
          <w:rPr>
            <w:rStyle w:val="Hyperlink"/>
            <w:rFonts w:cs="Arial"/>
            <w:color w:val="auto"/>
            <w:shd w:val="clear" w:color="auto" w:fill="FFFFFF"/>
          </w:rPr>
          <w:t>info-uk@weg.net</w:t>
        </w:r>
      </w:hyperlink>
    </w:p>
    <w:p w:rsidRPr="008A6A7A" w:rsidR="00E03D45" w:rsidP="008A6A7A" w:rsidRDefault="00E03D45" w14:paraId="5D2DCB5D" w14:textId="77777777">
      <w:pPr>
        <w:rPr>
          <w:rFonts w:eastAsia="MS Mincho"/>
          <w:color w:val="0C7289"/>
          <w:lang w:val="it-IT"/>
        </w:rPr>
      </w:pPr>
    </w:p>
    <w:p w:rsidRPr="008A6A7A" w:rsidR="00E03D45" w:rsidP="008A6A7A" w:rsidRDefault="00E03D45" w14:paraId="5D2DCB5E" w14:textId="4B4E2FE2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Consultas de prensa: </w:t>
      </w:r>
      <w:r w:rsidR="00741BAF">
        <w:rPr>
          <w:rFonts w:eastAsia="MS Mincho"/>
          <w:spacing w:val="-3"/>
        </w:rPr>
        <w:t xml:space="preserve">Encarna Núñez </w:t>
      </w:r>
      <w:r w:rsidR="0010339A">
        <w:rPr>
          <w:rFonts w:eastAsia="MS Mincho"/>
          <w:spacing w:val="-3"/>
        </w:rPr>
        <w:t xml:space="preserve">o Stephanie </w:t>
      </w:r>
      <w:r w:rsidR="00741BAF">
        <w:rPr>
          <w:rFonts w:eastAsia="MS Mincho"/>
          <w:spacing w:val="-3"/>
        </w:rPr>
        <w:t xml:space="preserve">Carson </w:t>
      </w:r>
      <w:r w:rsidR="0010339A">
        <w:rPr>
          <w:rFonts w:eastAsia="MS Mincho"/>
          <w:spacing w:val="-3"/>
        </w:rPr>
        <w:t xml:space="preserve">Wood </w:t>
      </w:r>
      <w:r w:rsidRPr="008A6A7A">
        <w:rPr>
          <w:rFonts w:eastAsia="MS Mincho"/>
          <w:spacing w:val="-3"/>
        </w:rPr>
        <w:t xml:space="preserve">– Stone Junction Ltd</w:t>
      </w:r>
    </w:p>
    <w:p w:rsidRPr="00E23DAC" w:rsidR="00E03D45" w:rsidP="008A6A7A" w:rsidRDefault="00E23DAC" w14:paraId="5D2DCB5F" w14:textId="77777777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 xml:space="preserve">Suites 1 y 2, The Malthouse, Water Street, Stafford, Staffordshire, ST16 1AR </w:t>
      </w:r>
      <w:r w:rsidRPr="008A6A7A" w:rsidR="00E03D45">
        <w:rPr>
          <w:rFonts w:eastAsia="MS Mincho"/>
          <w:noProof/>
          <w:lang w:eastAsia="en-GB"/>
        </w:rPr>
        <w:br/>
      </w:r>
      <w:r w:rsidRPr="00F603CF" w:rsidR="00E03D45">
        <w:rPr>
          <w:rFonts w:eastAsia="MS Mincho"/>
          <w:b/>
          <w:bCs/>
          <w:color w:val="4472C4"/>
        </w:rPr>
        <w:t xml:space="preserve">Teléfono: </w:t>
      </w:r>
      <w:r w:rsidRPr="008A6A7A" w:rsidR="00E03D45">
        <w:rPr>
          <w:rFonts w:eastAsia="MS Mincho"/>
          <w:spacing w:val="-3"/>
        </w:rPr>
        <w:t xml:space="preserve">+44 (0) 1785 225416</w:t>
      </w:r>
    </w:p>
    <w:p w:rsidRPr="008A6A7A" w:rsidR="00E03D45" w:rsidP="008A6A7A" w:rsidRDefault="00E03D45" w14:paraId="5D2DCB60" w14:textId="596FBCE4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Correo electrónico:</w:t>
      </w:r>
      <w:hyperlink w:history="1" r:id="rId20">
        <w:r w:rsidRPr="00B02957" w:rsidR="00741BAF">
          <w:rPr>
            <w:rStyle w:val="Hyperlink"/>
            <w:rFonts w:eastAsia="MS Mincho" w:cs="Arial"/>
            <w:spacing w:val="-3"/>
          </w:rPr>
          <w:t>encarna@stonejunction.co.uk</w:t>
        </w:r>
      </w:hyperlink>
      <w:r w:rsidRPr="008A6A7A">
        <w:rPr>
          <w:rFonts w:eastAsia="MS Mincho"/>
          <w:spacing w:val="-3"/>
        </w:rPr>
        <w:t xml:space="preserve"> </w:t>
      </w:r>
      <w:r w:rsidR="0010339A">
        <w:rPr>
          <w:rFonts w:eastAsia="MS Mincho"/>
          <w:spacing w:val="-3"/>
        </w:rPr>
        <w:t xml:space="preserve">o</w:t>
      </w:r>
      <w:hyperlink w:history="1" r:id="rId21">
        <w:r w:rsidRPr="00CD5A26" w:rsidR="0010339A">
          <w:rPr>
            <w:rStyle w:val="Hyperlink"/>
            <w:rFonts w:eastAsia="MS Mincho"/>
            <w:spacing w:val="-3"/>
          </w:rPr>
          <w:t>stephanie@stonejunction.co.uk</w:t>
        </w:r>
      </w:hyperlink>
      <w:r w:rsidR="0010339A">
        <w:rPr>
          <w:rFonts w:eastAsia="MS Mincho"/>
          <w:spacing w:val="-3"/>
        </w:rPr>
        <w:t xml:space="preserve"> </w:t>
      </w:r>
    </w:p>
    <w:p w:rsidRPr="008A6A7A" w:rsidR="00E03D45" w:rsidP="008A6A7A" w:rsidRDefault="00E03D45" w14:paraId="5D2DCB61" w14:textId="5B472EF6">
      <w:pPr>
        <w:rPr>
          <w:rFonts w:eastAsia="MS Mincho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www:</w:t>
      </w:r>
      <w:hyperlink w:history="1" r:id="rId22">
        <w:r w:rsidRPr="00B02957" w:rsidR="00741BAF">
          <w:rPr>
            <w:rStyle w:val="Hyperlink"/>
            <w:rFonts w:eastAsia="MS Mincho" w:cs="Arial"/>
            <w:spacing w:val="-3"/>
            <w:lang w:val="de-DE"/>
          </w:rPr>
          <w:t xml:space="preserve"> www.wechangeminds.com</w:t>
        </w:r>
      </w:hyperlink>
      <w:r w:rsidR="00741BAF">
        <w:rPr>
          <w:rFonts w:eastAsia="MS Mincho" w:cs="Arial"/>
          <w:spacing w:val="-3"/>
          <w:lang w:val="de-DE"/>
        </w:rPr>
        <w:t xml:space="preserve">   </w:t>
      </w:r>
    </w:p>
    <w:p w:rsidRPr="008A6A7A" w:rsidR="00E03D45" w:rsidP="008A6A7A" w:rsidRDefault="00741BAF" w14:paraId="5D2DCB63" w14:textId="2F9107B7">
      <w:pPr>
        <w:rPr>
          <w:rFonts w:eastAsia="MS Mincho"/>
          <w:bCs/>
          <w:color w:val="002060"/>
          <w:spacing w:val="-3"/>
        </w:rPr>
      </w:pPr>
      <w:r>
        <w:rPr>
          <w:rFonts w:eastAsia="MS Mincho"/>
          <w:b/>
          <w:bCs/>
          <w:color w:val="4472C4"/>
        </w:rPr>
        <w:t xml:space="preserve">X</w:t>
      </w:r>
      <w:r w:rsidRPr="00F603CF" w:rsidR="00E03D45">
        <w:rPr>
          <w:rFonts w:eastAsia="MS Mincho"/>
          <w:b/>
          <w:bCs/>
          <w:color w:val="4472C4"/>
        </w:rPr>
        <w:t xml:space="preserve">: </w:t>
      </w:r>
      <w:hyperlink w:history="1" r:id="rId23">
        <w:r w:rsidRPr="00B02957">
          <w:rPr>
            <w:rStyle w:val="Hyperlink"/>
            <w:rFonts w:eastAsia="MS Mincho" w:cs="Arial"/>
            <w:bCs/>
            <w:spacing w:val="-3"/>
          </w:rPr>
          <w:t>www.x.com/StoneJunctionPR</w:t>
        </w:r>
      </w:hyperlink>
    </w:p>
    <w:p w:rsidRPr="008A6A7A" w:rsidR="00E03D45" w:rsidP="008A6A7A" w:rsidRDefault="00E03D45" w14:paraId="5D2DCB64" w14:textId="77777777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Facebook</w:t>
      </w:r>
      <w:r w:rsidRPr="00F603CF">
        <w:rPr>
          <w:rFonts w:eastAsia="MS Mincho"/>
          <w:b/>
          <w:bCs/>
          <w:color w:val="4472C4"/>
          <w:spacing w:val="-3"/>
        </w:rPr>
        <w:t xml:space="preserve">:</w:t>
      </w:r>
      <w:hyperlink w:history="1" r:id="rId24">
        <w:r w:rsidRPr="008A6A7A">
          <w:rPr>
            <w:rStyle w:val="Hyperlink"/>
            <w:rFonts w:eastAsia="MS Mincho" w:cs="Arial"/>
          </w:rPr>
          <w:t xml:space="preserve"> http://www.facebook.com/technicalPR</w:t>
        </w:r>
      </w:hyperlink>
    </w:p>
    <w:p w:rsidRPr="008A6A7A" w:rsidR="00E03D45" w:rsidP="008A6A7A" w:rsidRDefault="00E03D45" w14:paraId="5D2DCB65" w14:textId="77777777">
      <w:pPr>
        <w:rPr>
          <w:rFonts w:eastAsia="MS Mincho"/>
          <w:b/>
          <w:bCs/>
          <w:color w:val="00206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LinkedIn:</w:t>
      </w:r>
      <w:hyperlink w:history="1" r:id="rId25">
        <w:r w:rsidRPr="008A6A7A">
          <w:rPr>
            <w:rStyle w:val="Hyperlink"/>
            <w:rFonts w:eastAsia="MS Mincho" w:cs="Arial"/>
            <w:lang w:val="de-DE"/>
          </w:rPr>
          <w:t xml:space="preserve"> https://www.linkedin.com/company/stone-junction-ltd</w:t>
        </w:r>
      </w:hyperlink>
    </w:p>
    <w:p w:rsidRPr="008A6A7A" w:rsidR="00E03D45" w:rsidP="008A6A7A" w:rsidRDefault="00E03D45" w14:paraId="5D2DCB66" w14:textId="77777777">
      <w:pPr>
        <w:rPr>
          <w:rFonts w:eastAsia="MS Mincho"/>
          <w:b/>
          <w:bCs/>
          <w:color w:val="439639"/>
          <w:lang w:val="de-DE"/>
        </w:rPr>
      </w:pPr>
    </w:p>
    <w:p w:rsidR="00A97965" w:rsidP="00A97965" w:rsidRDefault="00382C38" w14:paraId="5D2DCB67" w14:textId="77777777">
      <w:pPr>
        <w:pStyle w:val="NormalWeb"/>
        <w:jc w:val="both"/>
        <w:rPr>
          <w:rFonts w:ascii="Arial" w:hAnsi="Arial" w:cs="Arial"/>
          <w:lang w:val="en-GB"/>
        </w:rPr>
      </w:pPr>
      <w:r w:rsidRPr="00382C38">
        <w:rPr>
          <w:rFonts w:ascii="Arial" w:hAnsi="Arial" w:eastAsia="MS Mincho" w:cs="Arial"/>
          <w:b/>
          <w:bCs/>
          <w:color w:val="4472C4"/>
        </w:rPr>
        <w:t xml:space="preserve">Acerca de WEG: </w:t>
      </w:r>
      <w:r w:rsidRPr="00A97965" w:rsidR="00A97965">
        <w:rPr>
          <w:rFonts w:ascii="Arial" w:hAnsi="Arial" w:cs="Arial"/>
          <w:lang w:val="en-GB"/>
        </w:rPr>
        <w:t xml:space="preserve">Fundada en 1961, WEG es una empresa global de equipos eléctricos y electrónicos que opera principalmente en el sector de bienes de capital con soluciones en máquinas eléctricas, automatización y pinturas para diversos sectores, entre los que se incluyen infraestructuras, acero, pulpa y papel, petróleo y gas, minería, entre muchos otros. </w:t>
      </w:r>
    </w:p>
    <w:p w:rsidR="002C3373" w:rsidP="002C3373" w:rsidRDefault="002C3373" w14:paraId="3D18F100" w14:textId="77777777">
      <w:pPr>
        <w:pStyle w:val="NormalWeb"/>
        <w:jc w:val="both"/>
        <w:rPr>
          <w:rFonts w:ascii="Arial" w:hAnsi="Arial" w:cs="Arial"/>
        </w:rPr>
      </w:pPr>
      <w:r w:rsidRPr="004D34BA">
        <w:rPr>
          <w:rFonts w:ascii="Arial" w:hAnsi="Arial" w:cs="Arial"/>
          <w:lang w:val="en-GB"/>
        </w:rPr>
        <w:t xml:space="preserve">WEG destaca en innovación al desarrollar constantemente soluciones para responder a las principales tendencias en eficiencia energética, energías renovables y movilidad eléctrica. Con plantas de fabricación en 18 países y presencia en más de 120, la empresa cuenta con más de 47 000 </w:t>
      </w:r>
      <w:r w:rsidRPr="004D34BA">
        <w:rPr>
          <w:rFonts w:ascii="Arial" w:hAnsi="Arial" w:cs="Arial"/>
          <w:lang w:val="en-GB"/>
        </w:rPr>
        <w:t xml:space="preserve">empleados</w:t>
      </w:r>
      <w:r w:rsidRPr="004D34BA">
        <w:rPr>
          <w:rFonts w:ascii="Arial" w:hAnsi="Arial" w:cs="Arial"/>
          <w:lang w:val="en-GB"/>
        </w:rPr>
        <w:lastRenderedPageBreak/>
      </w:r>
      <w:r w:rsidRPr="004D34BA">
        <w:rPr>
          <w:rFonts w:ascii="Arial" w:hAnsi="Arial" w:cs="Arial"/>
          <w:lang w:val="en-GB"/>
        </w:rPr>
        <w:t xml:space="preserve"> en todo el mundo. Los ingresos netos de WEG alcanzaron los 38 000 millones de reales brasileños en 2024, de los cuales el 57 % procedió de mercados externos. Para obtener más información, visite</w:t>
      </w:r>
      <w:hyperlink w:history="1" r:id="rId26">
        <w:r w:rsidRPr="00856AAC">
          <w:rPr>
            <w:rStyle w:val="Hyperlink"/>
            <w:rFonts w:ascii="Arial" w:hAnsi="Arial" w:cs="Arial"/>
          </w:rPr>
          <w:t xml:space="preserve"> www.weg.net</w:t>
        </w:r>
      </w:hyperlink>
    </w:p>
    <w:p w:rsidRPr="005076D1" w:rsidR="00B86E1F" w:rsidP="00E03D45" w:rsidRDefault="00E03D45" w14:paraId="5D2DCB6B" w14:textId="466144C2">
      <w:pPr>
        <w:rPr>
          <w:rFonts w:eastAsia="MS Mincho" w:cs="Arial"/>
          <w:b/>
          <w:color w:val="CC3300"/>
          <w:spacing w:val="-3"/>
        </w:rPr>
      </w:pPr>
      <w:r w:rsidRPr="00F603CF">
        <w:rPr>
          <w:rFonts w:eastAsia="MS Mincho" w:cs="Arial"/>
          <w:b/>
          <w:bCs/>
          <w:color w:val="4472C4"/>
        </w:rPr>
        <w:t xml:space="preserve">Ref.: </w:t>
      </w:r>
      <w:r w:rsidR="00741BAF">
        <w:rPr>
          <w:rFonts w:eastAsia="MS Mincho" w:cs="Arial"/>
          <w:spacing w:val="-3"/>
        </w:rPr>
        <w:t xml:space="preserve">WEG1359/02/25</w:t>
      </w:r>
    </w:p>
    <w:sectPr w:rsidRPr="005076D1" w:rsidR="00B86E1F" w:rsidSect="006D0EBA">
      <w:headerReference w:type="first" r:id="rId27"/>
      <w:pgSz w:w="12240" w:h="15840" w:orient="portrait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E1ADB" w:rsidP="00C0175F" w:rsidRDefault="00BE1ADB" w14:paraId="6304F49C" w14:textId="77777777">
      <w:r>
        <w:separator/>
      </w:r>
    </w:p>
  </w:endnote>
  <w:endnote w:type="continuationSeparator" w:id="0">
    <w:p w:rsidR="00BE1ADB" w:rsidP="00C0175F" w:rsidRDefault="00BE1ADB" w14:paraId="4E00B5D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E1ADB" w:rsidP="00C0175F" w:rsidRDefault="00BE1ADB" w14:paraId="7DC7814A" w14:textId="77777777">
      <w:r>
        <w:separator/>
      </w:r>
    </w:p>
  </w:footnote>
  <w:footnote w:type="continuationSeparator" w:id="0">
    <w:p w:rsidR="00BE1ADB" w:rsidP="00C0175F" w:rsidRDefault="00BE1ADB" w14:paraId="4F0AD98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175F" w:rsidP="006D0EBA" w:rsidRDefault="00C0175F" w14:paraId="5D2DCB72" w14:textId="77777777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12707"/>
    <w:rsid w:val="00013AE7"/>
    <w:rsid w:val="000245BC"/>
    <w:rsid w:val="00027D32"/>
    <w:rsid w:val="00045BF8"/>
    <w:rsid w:val="0005012E"/>
    <w:rsid w:val="0008482A"/>
    <w:rsid w:val="000B3EF0"/>
    <w:rsid w:val="000B7E0B"/>
    <w:rsid w:val="000C2851"/>
    <w:rsid w:val="000D6C36"/>
    <w:rsid w:val="000E5A74"/>
    <w:rsid w:val="000F78F9"/>
    <w:rsid w:val="00100332"/>
    <w:rsid w:val="00100B12"/>
    <w:rsid w:val="0010339A"/>
    <w:rsid w:val="00123F6C"/>
    <w:rsid w:val="00127C72"/>
    <w:rsid w:val="001339EB"/>
    <w:rsid w:val="00147C6D"/>
    <w:rsid w:val="001514E7"/>
    <w:rsid w:val="00155C9B"/>
    <w:rsid w:val="00165FE6"/>
    <w:rsid w:val="001717D6"/>
    <w:rsid w:val="001749B1"/>
    <w:rsid w:val="00175EA9"/>
    <w:rsid w:val="001B2D8F"/>
    <w:rsid w:val="001C062A"/>
    <w:rsid w:val="001C4B73"/>
    <w:rsid w:val="001D6804"/>
    <w:rsid w:val="001E1CD7"/>
    <w:rsid w:val="001E7799"/>
    <w:rsid w:val="00222B08"/>
    <w:rsid w:val="002249E7"/>
    <w:rsid w:val="00235427"/>
    <w:rsid w:val="002466F0"/>
    <w:rsid w:val="00254DE6"/>
    <w:rsid w:val="002729EE"/>
    <w:rsid w:val="00274A0D"/>
    <w:rsid w:val="002A1459"/>
    <w:rsid w:val="002A4040"/>
    <w:rsid w:val="002B2F32"/>
    <w:rsid w:val="002B5A47"/>
    <w:rsid w:val="002C047C"/>
    <w:rsid w:val="002C3373"/>
    <w:rsid w:val="002E58A3"/>
    <w:rsid w:val="0030281F"/>
    <w:rsid w:val="00302AA3"/>
    <w:rsid w:val="003154EB"/>
    <w:rsid w:val="0033485F"/>
    <w:rsid w:val="00344857"/>
    <w:rsid w:val="00351818"/>
    <w:rsid w:val="003646FD"/>
    <w:rsid w:val="003708FC"/>
    <w:rsid w:val="00382C38"/>
    <w:rsid w:val="00385D7C"/>
    <w:rsid w:val="00387BB5"/>
    <w:rsid w:val="0039048A"/>
    <w:rsid w:val="00396D46"/>
    <w:rsid w:val="00397F17"/>
    <w:rsid w:val="003A7BBA"/>
    <w:rsid w:val="003B3F21"/>
    <w:rsid w:val="003B7AD3"/>
    <w:rsid w:val="003E5474"/>
    <w:rsid w:val="004046B9"/>
    <w:rsid w:val="00407386"/>
    <w:rsid w:val="004225DF"/>
    <w:rsid w:val="0045754B"/>
    <w:rsid w:val="00463485"/>
    <w:rsid w:val="00483578"/>
    <w:rsid w:val="00492E4F"/>
    <w:rsid w:val="004948DB"/>
    <w:rsid w:val="004A2AA0"/>
    <w:rsid w:val="004D1123"/>
    <w:rsid w:val="004E529B"/>
    <w:rsid w:val="004F618B"/>
    <w:rsid w:val="00500E9F"/>
    <w:rsid w:val="005076D1"/>
    <w:rsid w:val="00522573"/>
    <w:rsid w:val="00524B55"/>
    <w:rsid w:val="0054666D"/>
    <w:rsid w:val="00551987"/>
    <w:rsid w:val="00575480"/>
    <w:rsid w:val="00580101"/>
    <w:rsid w:val="00581257"/>
    <w:rsid w:val="005973B5"/>
    <w:rsid w:val="005B2F5B"/>
    <w:rsid w:val="005C3A2D"/>
    <w:rsid w:val="005C3DF8"/>
    <w:rsid w:val="005C72BE"/>
    <w:rsid w:val="005E23C9"/>
    <w:rsid w:val="005F0A68"/>
    <w:rsid w:val="006068D7"/>
    <w:rsid w:val="0061053B"/>
    <w:rsid w:val="006154AA"/>
    <w:rsid w:val="006320A8"/>
    <w:rsid w:val="00633382"/>
    <w:rsid w:val="00635582"/>
    <w:rsid w:val="0064285E"/>
    <w:rsid w:val="00644BE8"/>
    <w:rsid w:val="006459DC"/>
    <w:rsid w:val="00685357"/>
    <w:rsid w:val="00685A84"/>
    <w:rsid w:val="00687C41"/>
    <w:rsid w:val="006A1D50"/>
    <w:rsid w:val="006B7A4C"/>
    <w:rsid w:val="006C5423"/>
    <w:rsid w:val="006D0EBA"/>
    <w:rsid w:val="006E22F8"/>
    <w:rsid w:val="00710F2F"/>
    <w:rsid w:val="00726E08"/>
    <w:rsid w:val="00737F3E"/>
    <w:rsid w:val="00741BAF"/>
    <w:rsid w:val="00763095"/>
    <w:rsid w:val="007A1A2E"/>
    <w:rsid w:val="007B2663"/>
    <w:rsid w:val="007D1C14"/>
    <w:rsid w:val="007E1C8F"/>
    <w:rsid w:val="007E534A"/>
    <w:rsid w:val="007E5B66"/>
    <w:rsid w:val="007F3F1C"/>
    <w:rsid w:val="0081437B"/>
    <w:rsid w:val="00824F99"/>
    <w:rsid w:val="00837973"/>
    <w:rsid w:val="00856AAC"/>
    <w:rsid w:val="00857350"/>
    <w:rsid w:val="008575DB"/>
    <w:rsid w:val="008A6A7A"/>
    <w:rsid w:val="008D2C18"/>
    <w:rsid w:val="008D63D5"/>
    <w:rsid w:val="008E36EF"/>
    <w:rsid w:val="008E529D"/>
    <w:rsid w:val="00910E33"/>
    <w:rsid w:val="0091222A"/>
    <w:rsid w:val="009213B5"/>
    <w:rsid w:val="00924FCE"/>
    <w:rsid w:val="009272EB"/>
    <w:rsid w:val="00937C93"/>
    <w:rsid w:val="00947352"/>
    <w:rsid w:val="009701B9"/>
    <w:rsid w:val="00976B52"/>
    <w:rsid w:val="00981A09"/>
    <w:rsid w:val="00984102"/>
    <w:rsid w:val="009A11C9"/>
    <w:rsid w:val="009D7744"/>
    <w:rsid w:val="009E2B0A"/>
    <w:rsid w:val="009F2F8D"/>
    <w:rsid w:val="009F5863"/>
    <w:rsid w:val="00A30C27"/>
    <w:rsid w:val="00A33F1E"/>
    <w:rsid w:val="00A832B5"/>
    <w:rsid w:val="00A97965"/>
    <w:rsid w:val="00AF1A37"/>
    <w:rsid w:val="00B02318"/>
    <w:rsid w:val="00B04F8D"/>
    <w:rsid w:val="00B1046C"/>
    <w:rsid w:val="00B1798B"/>
    <w:rsid w:val="00B258B4"/>
    <w:rsid w:val="00B50026"/>
    <w:rsid w:val="00B548EC"/>
    <w:rsid w:val="00B62CAE"/>
    <w:rsid w:val="00B8312E"/>
    <w:rsid w:val="00B86129"/>
    <w:rsid w:val="00B86E1F"/>
    <w:rsid w:val="00B900D7"/>
    <w:rsid w:val="00B94302"/>
    <w:rsid w:val="00BA55AB"/>
    <w:rsid w:val="00BD0366"/>
    <w:rsid w:val="00BD1859"/>
    <w:rsid w:val="00BD253A"/>
    <w:rsid w:val="00BE1ADB"/>
    <w:rsid w:val="00C00639"/>
    <w:rsid w:val="00C0175F"/>
    <w:rsid w:val="00C03BA0"/>
    <w:rsid w:val="00C07DAB"/>
    <w:rsid w:val="00C20A04"/>
    <w:rsid w:val="00C24405"/>
    <w:rsid w:val="00C53825"/>
    <w:rsid w:val="00C56C33"/>
    <w:rsid w:val="00C665EB"/>
    <w:rsid w:val="00C73480"/>
    <w:rsid w:val="00C80970"/>
    <w:rsid w:val="00C8111D"/>
    <w:rsid w:val="00C94AB3"/>
    <w:rsid w:val="00C94B4E"/>
    <w:rsid w:val="00CA0066"/>
    <w:rsid w:val="00CA611D"/>
    <w:rsid w:val="00CB26E7"/>
    <w:rsid w:val="00CB5356"/>
    <w:rsid w:val="00CC45B6"/>
    <w:rsid w:val="00CF666D"/>
    <w:rsid w:val="00D04EE8"/>
    <w:rsid w:val="00D1054C"/>
    <w:rsid w:val="00D1441B"/>
    <w:rsid w:val="00D151AE"/>
    <w:rsid w:val="00D17F1F"/>
    <w:rsid w:val="00D41A56"/>
    <w:rsid w:val="00D52945"/>
    <w:rsid w:val="00D57F17"/>
    <w:rsid w:val="00D65732"/>
    <w:rsid w:val="00D80086"/>
    <w:rsid w:val="00D84B54"/>
    <w:rsid w:val="00D951A4"/>
    <w:rsid w:val="00D955C6"/>
    <w:rsid w:val="00DB57D6"/>
    <w:rsid w:val="00DB75D6"/>
    <w:rsid w:val="00DE1B48"/>
    <w:rsid w:val="00DE247E"/>
    <w:rsid w:val="00DE3409"/>
    <w:rsid w:val="00E008B8"/>
    <w:rsid w:val="00E03893"/>
    <w:rsid w:val="00E03D45"/>
    <w:rsid w:val="00E04F24"/>
    <w:rsid w:val="00E10654"/>
    <w:rsid w:val="00E14628"/>
    <w:rsid w:val="00E23DAC"/>
    <w:rsid w:val="00E44E5D"/>
    <w:rsid w:val="00E527AD"/>
    <w:rsid w:val="00E70F9A"/>
    <w:rsid w:val="00E8641C"/>
    <w:rsid w:val="00EA21F0"/>
    <w:rsid w:val="00EB1D2A"/>
    <w:rsid w:val="00EB2DE2"/>
    <w:rsid w:val="00EB4C49"/>
    <w:rsid w:val="00EC4292"/>
    <w:rsid w:val="00EE04DD"/>
    <w:rsid w:val="00EE155A"/>
    <w:rsid w:val="00F03982"/>
    <w:rsid w:val="00F04A8E"/>
    <w:rsid w:val="00F16529"/>
    <w:rsid w:val="00F24E50"/>
    <w:rsid w:val="00F43E3E"/>
    <w:rsid w:val="00F603CF"/>
    <w:rsid w:val="00F65F0B"/>
    <w:rsid w:val="00F66292"/>
    <w:rsid w:val="00F668D0"/>
    <w:rsid w:val="00FA03F5"/>
    <w:rsid w:val="00FC33CB"/>
    <w:rsid w:val="00FF18BF"/>
    <w:rsid w:val="02CB02C2"/>
    <w:rsid w:val="06D34C13"/>
    <w:rsid w:val="24B621FE"/>
    <w:rsid w:val="354CE9B3"/>
    <w:rsid w:val="396255B6"/>
    <w:rsid w:val="3CD9FA48"/>
    <w:rsid w:val="4BB9419C"/>
    <w:rsid w:val="4BD25D30"/>
    <w:rsid w:val="529976B1"/>
    <w:rsid w:val="5441AAE6"/>
    <w:rsid w:val="5A0C0E24"/>
    <w:rsid w:val="5D6543CA"/>
    <w:rsid w:val="61818AC5"/>
    <w:rsid w:val="64DC6351"/>
    <w:rsid w:val="68652FFC"/>
    <w:rsid w:val="744609F6"/>
    <w:rsid w:val="7AC3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41C80BE2-87A8-4597-810A-9BC55B09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646FD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2Char" w:customStyle="1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styleId="BodyCopy" w:customStyle="1">
    <w:name w:val="Body Copy"/>
    <w:basedOn w:val="Normal"/>
    <w:rsid w:val="003646FD"/>
    <w:pPr>
      <w:spacing w:before="120" w:after="120" w:line="360" w:lineRule="auto"/>
      <w:jc w:val="both"/>
    </w:pPr>
  </w:style>
  <w:style w:type="paragraph" w:styleId="Introduction" w:customStyle="1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styleId="BalloonTextChar" w:customStyle="1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styleId="label" w:customStyle="1">
    <w:name w:val="label"/>
    <w:rsid w:val="003646FD"/>
    <w:rPr>
      <w:rFonts w:cs="Times New Roman"/>
    </w:rPr>
  </w:style>
  <w:style w:type="character" w:styleId="detail" w:customStyle="1">
    <w:name w:val="detail"/>
    <w:rsid w:val="003646FD"/>
    <w:rPr>
      <w:rFonts w:cs="Times New Roman"/>
    </w:rPr>
  </w:style>
  <w:style w:type="character" w:styleId="apple-style-span" w:customStyle="1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styleId="Heading1Char" w:customStyle="1">
    <w:name w:val="Heading 1 Char"/>
    <w:link w:val="Heading1"/>
    <w:uiPriority w:val="9"/>
    <w:rsid w:val="00B900D7"/>
    <w:rPr>
      <w:rFonts w:ascii="Cambria" w:hAnsi="Cambria" w:eastAsia="Times New Roman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styleId="intro" w:customStyle="1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apple-converted-space" w:customStyle="1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styleId="HeaderChar" w:customStyle="1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styleId="FooterChar" w:customStyle="1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wp-body-text---col-p" w:customStyle="1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body-text---col-c-c0" w:customStyle="1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styleId="fragmenttag" w:customStyle="1">
    <w:name w:val="fragment__tag"/>
    <w:rsid w:val="009213B5"/>
  </w:style>
  <w:style w:type="paragraph" w:styleId="size-xxxl" w:customStyle="1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styleId="size-xl" w:customStyle="1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hAnsi="Calibri" w:eastAsia="Calibri"/>
      <w:sz w:val="20"/>
      <w:szCs w:val="20"/>
    </w:rPr>
  </w:style>
  <w:style w:type="character" w:styleId="CommentTextChar" w:customStyle="1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937C93"/>
    <w:rPr>
      <w:rFonts w:ascii="Arial" w:hAnsi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yperlink" Target="https://www.weg.net/catalog/weg/US/en/Generation%2CTransmission-and-Distribution/Synchronous-Condensers/Synchronous-Condensers/p/MKT_WEM_SYN_CONDENSERS?utm_source=Stone+Junction&amp;utm_medium=Rotating_syncronous_monto&amp;utm_campaign=WEG1359&amp;utm_id=WEG1359&amp;utm_term=Commissioned_article&amp;utm_content=Earned" TargetMode="External" Id="rId13" /><Relationship Type="http://schemas.openxmlformats.org/officeDocument/2006/relationships/hyperlink" Target="http://www.weg.net" TargetMode="External" Id="rId18" /><Relationship Type="http://schemas.openxmlformats.org/officeDocument/2006/relationships/hyperlink" Target="http://www.weg.net" TargetMode="External" Id="rId26" /><Relationship Type="http://schemas.openxmlformats.org/officeDocument/2006/relationships/customXml" Target="../customXml/item3.xml" Id="rId3" /><Relationship Type="http://schemas.openxmlformats.org/officeDocument/2006/relationships/hyperlink" Target="mailto:stephanie@stonejunction.co.uk" TargetMode="External" Id="rId21" /><Relationship Type="http://schemas.openxmlformats.org/officeDocument/2006/relationships/webSettings" Target="webSettings.xml" Id="rId7" /><Relationship Type="http://schemas.openxmlformats.org/officeDocument/2006/relationships/hyperlink" Target="https://www2.deloitte.com/us/en/insights/industry/renewable-energy/renewable-energy-industry-outlook.html" TargetMode="External" Id="rId12" /><Relationship Type="http://schemas.openxmlformats.org/officeDocument/2006/relationships/hyperlink" Target="https://www.weg.net/institutional/MR/en/all-news/all" TargetMode="External" Id="rId17" /><Relationship Type="http://schemas.openxmlformats.org/officeDocument/2006/relationships/hyperlink" Target="https://www.linkedin.com/company/stone-junction-ltd" TargetMode="External" Id="rId25" /><Relationship Type="http://schemas.openxmlformats.org/officeDocument/2006/relationships/customXml" Target="../customXml/item2.xml" Id="rId2" /><Relationship Type="http://schemas.openxmlformats.org/officeDocument/2006/relationships/hyperlink" Target="https://www.weg.net/institutional/US/en/?utm_source=Stone+Junction&amp;utm_medium=Rotating_syncronous_monto&amp;utm_campaign=WEG1359&amp;utm_id=WEG1359&amp;utm_term=Commissioned_article&amp;utm_content=Earned" TargetMode="External" Id="rId16" /><Relationship Type="http://schemas.openxmlformats.org/officeDocument/2006/relationships/hyperlink" Target="mailto:encarna@stonejunction.co.uk" TargetMode="External" Id="rId20" /><Relationship Type="http://schemas.openxmlformats.org/officeDocument/2006/relationships/theme" Target="theme/theme1.xml" Id="rId29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www.weg.net/institutional/US/en/?utm_source=Stone+Junction&amp;utm_medium=Rotating_syncronous_monto&amp;utm_campaign=WEG1359&amp;utm_id=WEG1359&amp;utm_term=Commissioned_article&amp;utm_content=Earned" TargetMode="External" Id="rId11" /><Relationship Type="http://schemas.openxmlformats.org/officeDocument/2006/relationships/hyperlink" Target="http://www.facebook.com/technicalPR" TargetMode="External" Id="rId24" /><Relationship Type="http://schemas.openxmlformats.org/officeDocument/2006/relationships/styles" Target="styles.xml" Id="rId5" /><Relationship Type="http://schemas.openxmlformats.org/officeDocument/2006/relationships/hyperlink" Target="http://www.x.com/StoneJunctionPR" TargetMode="External" Id="rId23" /><Relationship Type="http://schemas.openxmlformats.org/officeDocument/2006/relationships/fontTable" Target="fontTable.xml" Id="rId28" /><Relationship Type="http://schemas.openxmlformats.org/officeDocument/2006/relationships/image" Target="media/image1.jpeg" Id="rId10" /><Relationship Type="http://schemas.openxmlformats.org/officeDocument/2006/relationships/hyperlink" Target="mailto:info-uk@weg.net" TargetMode="Externa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http://www.wechangeminds.com" TargetMode="External" Id="rId22" /><Relationship Type="http://schemas.openxmlformats.org/officeDocument/2006/relationships/header" Target="header1.xml" Id="rId27" /><Relationship Type="http://schemas.openxmlformats.org/officeDocument/2006/relationships/hyperlink" Target="https://www.weg.net/catalog/weg/US/en/Drives/Variable-Speed-Drives/c/GLOBAL_WDC_DRV_IF?utm_source=Stone+Junction&amp;utm_medium=Rotating_syncronous_monto&amp;utm_campaign=WEG1359&amp;utm_id=WEG1359&amp;utm_term=Commissioned_article&amp;utm_content=Earned" TargetMode="External" Id="R3f435fdea5b84eb1" /><Relationship Type="http://schemas.openxmlformats.org/officeDocument/2006/relationships/hyperlink" Target="https://www.weg.net/bess?utm_source=Stone+Junction&amp;utm_medium=Opinion_piece&amp;utm_campaign=WEG1359&amp;utm_id=WEG1359&amp;utm_term=Rotating_synchronous_condenser+&amp;utm_content=Earned" TargetMode="External" Id="Rc13f9d8fdf094682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5ca7-eb12-4a0b-9112-d762b432b210" xsi:nil="true"/>
    <lcf76f155ced4ddcb4097134ff3c332f xmlns="83137320-08c7-41f4-8e31-d7d186c713f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9" ma:contentTypeDescription="Create a new document." ma:contentTypeScope="" ma:versionID="ba4e9cbce5d9ec93585a17358d201d82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0cd73fe19c13e916cd059dc91e312b86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65F86536-9D41-4F76-B495-362938D0B9D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>, docId:428284D4D898CA39B4D637ADA13F931C</cp:keywords>
  <cp:lastModifiedBy>Javier De La Morena Cancela</cp:lastModifiedBy>
  <cp:revision>36</cp:revision>
  <cp:lastPrinted>2013-11-28T05:43:00Z</cp:lastPrinted>
  <dcterms:created xsi:type="dcterms:W3CDTF">2025-03-20T23:33:00Z</dcterms:created>
  <dcterms:modified xsi:type="dcterms:W3CDTF">2026-03-20T12:41:08Z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