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70E244D" w14:textId="77777777" w:rsidR="00783984" w:rsidRPr="00783984" w:rsidRDefault="00783984" w:rsidP="00783984">
      <w:pPr>
        <w:spacing w:line="480" w:lineRule="auto"/>
        <w:rPr>
          <w:rFonts w:cs="Arial"/>
          <w:b/>
          <w:sz w:val="32"/>
        </w:rPr>
      </w:pPr>
    </w:p>
    <w:p w14:paraId="1DD479CB" w14:textId="03719097" w:rsidR="00783984" w:rsidRPr="00B15407" w:rsidRDefault="00783984" w:rsidP="00783984">
      <w:pPr>
        <w:spacing w:line="480" w:lineRule="auto"/>
        <w:jc w:val="center"/>
        <w:rPr>
          <w:rFonts w:cs="Arial"/>
          <w:b/>
          <w:sz w:val="32"/>
        </w:rPr>
      </w:pPr>
      <w:r w:rsidRPr="00B15407">
        <w:rPr>
          <w:rFonts w:cs="Arial"/>
          <w:b/>
          <w:sz w:val="32"/>
        </w:rPr>
        <w:t>Revolutionising the UA</w:t>
      </w:r>
      <w:r w:rsidR="00720094" w:rsidRPr="00B15407">
        <w:rPr>
          <w:rFonts w:cs="Arial"/>
          <w:b/>
          <w:sz w:val="32"/>
        </w:rPr>
        <w:t>E</w:t>
      </w:r>
      <w:r w:rsidRPr="00B15407">
        <w:rPr>
          <w:rFonts w:cs="Arial"/>
          <w:b/>
          <w:sz w:val="32"/>
        </w:rPr>
        <w:t>’s pipeline management</w:t>
      </w:r>
    </w:p>
    <w:p w14:paraId="7B5125FA" w14:textId="77777777" w:rsidR="00783984" w:rsidRPr="00B15407" w:rsidRDefault="00783984" w:rsidP="00783984">
      <w:pPr>
        <w:spacing w:line="480" w:lineRule="auto"/>
        <w:jc w:val="center"/>
        <w:rPr>
          <w:rFonts w:cs="Arial"/>
          <w:b/>
        </w:rPr>
      </w:pPr>
      <w:r w:rsidRPr="00B15407">
        <w:rPr>
          <w:rFonts w:cs="Arial"/>
          <w:b/>
        </w:rPr>
        <w:t>~ WEG’s integrated solutions drive efficiency in high-stakes energy sector ~</w:t>
      </w:r>
    </w:p>
    <w:p w14:paraId="62637D8D" w14:textId="77777777" w:rsidR="00783984" w:rsidRPr="00B15407" w:rsidRDefault="00783984" w:rsidP="000F78F9">
      <w:pPr>
        <w:spacing w:line="480" w:lineRule="auto"/>
        <w:jc w:val="center"/>
        <w:rPr>
          <w:rFonts w:cs="Arial"/>
          <w:b/>
        </w:rPr>
      </w:pPr>
    </w:p>
    <w:p w14:paraId="5D2DCB3E" w14:textId="77777777" w:rsidR="000F78F9" w:rsidRPr="00B15407" w:rsidRDefault="000F78F9" w:rsidP="000F78F9">
      <w:pPr>
        <w:spacing w:line="480" w:lineRule="auto"/>
        <w:jc w:val="both"/>
        <w:rPr>
          <w:b/>
        </w:rPr>
      </w:pPr>
    </w:p>
    <w:p w14:paraId="3BE7AC1B" w14:textId="06797B18" w:rsidR="00783984" w:rsidRPr="00B15407" w:rsidRDefault="00E368D1" w:rsidP="00783984">
      <w:pPr>
        <w:spacing w:line="480" w:lineRule="auto"/>
        <w:jc w:val="both"/>
        <w:rPr>
          <w:rFonts w:cs="Arial"/>
          <w:b/>
          <w:bCs/>
        </w:rPr>
      </w:pPr>
      <w:r w:rsidRPr="00B15407">
        <w:rPr>
          <w:rFonts w:cs="Arial"/>
          <w:b/>
          <w:bCs/>
        </w:rPr>
        <w:t xml:space="preserve">Global energy demand is projected to grow at 1.3 per cent annually by 2030, according to Deloitte's </w:t>
      </w:r>
      <w:r w:rsidRPr="00B15407">
        <w:rPr>
          <w:rFonts w:cs="Arial"/>
          <w:b/>
          <w:bCs/>
          <w:i/>
          <w:iCs/>
        </w:rPr>
        <w:t>2025 Oil and Gas Industry Outlook</w:t>
      </w:r>
      <w:r w:rsidRPr="00B15407">
        <w:rPr>
          <w:rFonts w:cs="Arial"/>
          <w:b/>
          <w:bCs/>
        </w:rPr>
        <w:t xml:space="preserve">, prompting increased investments in low-carbon technologies. As the sector grows, challenges like pipeline integrity, flow reliability and environmental risks remain. Here, Marek Lukaszczyk, European and Middle East marketing manager at the </w:t>
      </w:r>
      <w:hyperlink r:id="rId11">
        <w:r w:rsidRPr="00B15407">
          <w:rPr>
            <w:rStyle w:val="Hyperlink"/>
            <w:rFonts w:cs="Arial"/>
            <w:b/>
            <w:bCs/>
          </w:rPr>
          <w:t>motors and drives manufacturer</w:t>
        </w:r>
      </w:hyperlink>
      <w:r w:rsidRPr="00B15407">
        <w:rPr>
          <w:rFonts w:cs="Arial"/>
          <w:b/>
          <w:bCs/>
        </w:rPr>
        <w:t xml:space="preserve"> WEG, discusses how advanced motor technologies and variable speed drives (VSDs) are enhancing efficiency, reducing costs and improving sustainability in energy-intensive infrastructure projects.</w:t>
      </w:r>
    </w:p>
    <w:p w14:paraId="697B617B" w14:textId="77777777" w:rsidR="00E368D1" w:rsidRPr="00B15407" w:rsidRDefault="00E368D1" w:rsidP="00783984">
      <w:pPr>
        <w:spacing w:line="480" w:lineRule="auto"/>
        <w:jc w:val="both"/>
        <w:rPr>
          <w:rFonts w:cs="Arial"/>
          <w:b/>
          <w:bCs/>
          <w:lang w:val="en-US"/>
        </w:rPr>
      </w:pPr>
    </w:p>
    <w:p w14:paraId="4B9AC753" w14:textId="248480E5" w:rsidR="00097000" w:rsidRPr="00B15407" w:rsidRDefault="00783984" w:rsidP="00783984">
      <w:pPr>
        <w:spacing w:line="480" w:lineRule="auto"/>
        <w:jc w:val="both"/>
        <w:rPr>
          <w:rFonts w:cs="Arial"/>
          <w:lang w:val="en-US"/>
        </w:rPr>
      </w:pPr>
      <w:r w:rsidRPr="00B15407">
        <w:rPr>
          <w:rFonts w:cs="Arial"/>
          <w:lang w:val="en-US"/>
        </w:rPr>
        <w:t>In the fast-paced energy sector, ensuring the seamless operation of pipelines and flow systems is critical to maintaining efficiency and sustainability</w:t>
      </w:r>
      <w:r w:rsidR="00097000" w:rsidRPr="00B15407">
        <w:rPr>
          <w:rFonts w:cs="Arial"/>
          <w:lang w:val="en-US"/>
        </w:rPr>
        <w:t>.</w:t>
      </w:r>
      <w:r w:rsidRPr="00B15407">
        <w:rPr>
          <w:rFonts w:cs="Arial"/>
          <w:lang w:val="en-US"/>
        </w:rPr>
        <w:t xml:space="preserve"> </w:t>
      </w:r>
      <w:hyperlink r:id="rId12" w:history="1">
        <w:r w:rsidR="0076468B" w:rsidRPr="00B15407">
          <w:rPr>
            <w:rStyle w:val="Hyperlink"/>
            <w:rFonts w:cs="Arial"/>
            <w:lang w:val="en-US"/>
          </w:rPr>
          <w:t>Deloitte reports</w:t>
        </w:r>
      </w:hyperlink>
      <w:r w:rsidR="0076468B" w:rsidRPr="00B15407">
        <w:rPr>
          <w:rFonts w:cs="Arial"/>
          <w:lang w:val="en-US"/>
        </w:rPr>
        <w:t xml:space="preserve"> that</w:t>
      </w:r>
      <w:r w:rsidR="00097000" w:rsidRPr="00B15407">
        <w:rPr>
          <w:rFonts w:cs="Arial"/>
          <w:lang w:val="en-US"/>
        </w:rPr>
        <w:t>, “</w:t>
      </w:r>
      <w:r w:rsidR="00097000" w:rsidRPr="00B15407">
        <w:rPr>
          <w:rFonts w:cs="Arial"/>
        </w:rPr>
        <w:t xml:space="preserve">Some companies are engaging in increased investments in low-carbon technology projects to help balance the risks associated with the traditional oil and gas market. These </w:t>
      </w:r>
      <w:r w:rsidR="00097000" w:rsidRPr="00B15407">
        <w:rPr>
          <w:rFonts w:cs="Arial"/>
        </w:rPr>
        <w:lastRenderedPageBreak/>
        <w:t>investments will likely help companies position themselves as key players in the future energy landscape.”</w:t>
      </w:r>
    </w:p>
    <w:p w14:paraId="4F9DFAF4" w14:textId="77777777" w:rsidR="00097000" w:rsidRPr="00B15407" w:rsidRDefault="00097000" w:rsidP="00783984">
      <w:pPr>
        <w:spacing w:line="480" w:lineRule="auto"/>
        <w:jc w:val="both"/>
        <w:rPr>
          <w:rFonts w:cs="Arial"/>
          <w:lang w:val="en-US"/>
        </w:rPr>
      </w:pPr>
    </w:p>
    <w:p w14:paraId="3CB66B18" w14:textId="66C2E7DE" w:rsidR="00783984" w:rsidRPr="00B15407" w:rsidRDefault="00097000" w:rsidP="00783984">
      <w:pPr>
        <w:spacing w:line="480" w:lineRule="auto"/>
        <w:jc w:val="both"/>
        <w:rPr>
          <w:rFonts w:cs="Arial"/>
          <w:lang w:val="en-US"/>
        </w:rPr>
      </w:pPr>
      <w:r w:rsidRPr="00B15407">
        <w:rPr>
          <w:rFonts w:cs="Arial"/>
          <w:lang w:val="en-US"/>
        </w:rPr>
        <w:t xml:space="preserve">Nevertheless, these investments must offset the challenges of managing pipelines — whether for oil, gas, or water injection systems — that are growing more complex. </w:t>
      </w:r>
      <w:r w:rsidR="00783984" w:rsidRPr="00B15407">
        <w:rPr>
          <w:rFonts w:cs="Arial"/>
          <w:lang w:val="en-US"/>
        </w:rPr>
        <w:t xml:space="preserve">Chief among these </w:t>
      </w:r>
      <w:r w:rsidR="00DB4142" w:rsidRPr="00B15407">
        <w:rPr>
          <w:rFonts w:cs="Arial"/>
          <w:lang w:val="en-US"/>
        </w:rPr>
        <w:t>challenges is</w:t>
      </w:r>
      <w:r w:rsidR="00783984" w:rsidRPr="00B15407">
        <w:rPr>
          <w:rFonts w:cs="Arial"/>
          <w:lang w:val="en-US"/>
        </w:rPr>
        <w:t xml:space="preserve"> ensuring the continuous and safe operation of equipment under extreme environmental conditions, </w:t>
      </w:r>
      <w:r w:rsidR="00DB4142" w:rsidRPr="00B15407">
        <w:rPr>
          <w:rFonts w:cs="Arial"/>
          <w:lang w:val="en-US"/>
        </w:rPr>
        <w:t xml:space="preserve">in addition to </w:t>
      </w:r>
      <w:r w:rsidR="00783984" w:rsidRPr="00B15407">
        <w:rPr>
          <w:rFonts w:cs="Arial"/>
          <w:lang w:val="en-US"/>
        </w:rPr>
        <w:t>maintaining optimal flow rates and reducing energy consumption while increasing operational efficiency.</w:t>
      </w:r>
    </w:p>
    <w:p w14:paraId="2F0DC460" w14:textId="77777777" w:rsidR="00783984" w:rsidRPr="00B15407" w:rsidRDefault="00783984" w:rsidP="00783984">
      <w:pPr>
        <w:spacing w:line="480" w:lineRule="auto"/>
        <w:jc w:val="both"/>
        <w:rPr>
          <w:rFonts w:cs="Arial"/>
          <w:lang w:val="en-US"/>
        </w:rPr>
      </w:pPr>
    </w:p>
    <w:p w14:paraId="0F6E7F0C" w14:textId="77777777" w:rsidR="00783984" w:rsidRPr="00B15407" w:rsidRDefault="00783984" w:rsidP="00783984">
      <w:pPr>
        <w:spacing w:line="480" w:lineRule="auto"/>
        <w:jc w:val="both"/>
        <w:rPr>
          <w:rFonts w:cs="Arial"/>
          <w:b/>
          <w:bCs/>
          <w:lang w:val="en-US"/>
        </w:rPr>
      </w:pPr>
      <w:r w:rsidRPr="00B15407">
        <w:rPr>
          <w:rFonts w:cs="Arial"/>
          <w:b/>
          <w:bCs/>
          <w:lang w:val="en-US"/>
        </w:rPr>
        <w:t>Older technologies are energy-hungry</w:t>
      </w:r>
    </w:p>
    <w:p w14:paraId="20EA5017" w14:textId="19436EF7" w:rsidR="00DB4142" w:rsidRPr="00B15407" w:rsidRDefault="00DB4142" w:rsidP="00DB4142">
      <w:pPr>
        <w:spacing w:line="480" w:lineRule="auto"/>
        <w:jc w:val="both"/>
        <w:rPr>
          <w:rFonts w:cs="Arial"/>
          <w:lang w:val="en-US"/>
        </w:rPr>
      </w:pPr>
      <w:r w:rsidRPr="00B15407">
        <w:rPr>
          <w:rFonts w:cs="Arial"/>
          <w:lang w:val="en-US"/>
        </w:rPr>
        <w:t xml:space="preserve">In pipeline systems, energy efficiency is a critical concern, particularly for water injection systems in oilfields. Water injection, essential for pressure maintenance and boosting oil production, is highly energy-intensive. According to the </w:t>
      </w:r>
      <w:hyperlink r:id="rId13" w:history="1">
        <w:r w:rsidRPr="00B15407">
          <w:rPr>
            <w:rStyle w:val="Hyperlink"/>
            <w:rFonts w:cs="Arial"/>
            <w:lang w:val="en-US"/>
          </w:rPr>
          <w:t>International Energy Agency (IEA)</w:t>
        </w:r>
      </w:hyperlink>
      <w:r w:rsidRPr="00B15407">
        <w:rPr>
          <w:rFonts w:cs="Arial"/>
          <w:lang w:val="en-US"/>
        </w:rPr>
        <w:t>, water injection systems can account for up to 30 per cent of total energy consumption in upstream oil and gas operations.</w:t>
      </w:r>
    </w:p>
    <w:p w14:paraId="76159C93" w14:textId="77777777" w:rsidR="00DB4142" w:rsidRPr="00B15407" w:rsidRDefault="00DB4142" w:rsidP="00DB4142">
      <w:pPr>
        <w:spacing w:line="480" w:lineRule="auto"/>
        <w:jc w:val="both"/>
        <w:rPr>
          <w:rFonts w:cs="Arial"/>
          <w:lang w:val="en-US"/>
        </w:rPr>
      </w:pPr>
    </w:p>
    <w:p w14:paraId="580F4F75" w14:textId="77777777" w:rsidR="00DB4142" w:rsidRPr="00B15407" w:rsidRDefault="00DB4142" w:rsidP="00DB4142">
      <w:pPr>
        <w:spacing w:line="480" w:lineRule="auto"/>
        <w:jc w:val="both"/>
        <w:rPr>
          <w:rFonts w:cs="Arial"/>
          <w:lang w:val="en-US"/>
        </w:rPr>
      </w:pPr>
      <w:r w:rsidRPr="00B15407">
        <w:rPr>
          <w:rFonts w:cs="Arial"/>
          <w:lang w:val="en-US"/>
        </w:rPr>
        <w:t>This challenge is exacerbated by the increasing need to enhance productivity while reducing environmental footprints. Traditional water injection systems, often relying on older, inefficient technologies, are ill-suited to meet the demands of modern energy infrastructure. Consequently, industries are seeking more energy-efficient solutions that lower operational costs while improving performance.</w:t>
      </w:r>
    </w:p>
    <w:p w14:paraId="35481E4E" w14:textId="77777777" w:rsidR="00DB4142" w:rsidRPr="00B15407" w:rsidRDefault="00DB4142" w:rsidP="00DB4142">
      <w:pPr>
        <w:spacing w:line="480" w:lineRule="auto"/>
        <w:jc w:val="both"/>
        <w:rPr>
          <w:rFonts w:cs="Arial"/>
          <w:lang w:val="en-US"/>
        </w:rPr>
      </w:pPr>
    </w:p>
    <w:p w14:paraId="5E6811D2" w14:textId="57597605" w:rsidR="00DB4142" w:rsidRPr="00B15407" w:rsidRDefault="00DB4142" w:rsidP="00DB4142">
      <w:pPr>
        <w:spacing w:line="480" w:lineRule="auto"/>
        <w:jc w:val="both"/>
        <w:rPr>
          <w:rFonts w:cs="Arial"/>
          <w:lang w:val="en-US"/>
        </w:rPr>
      </w:pPr>
      <w:r w:rsidRPr="00B15407">
        <w:rPr>
          <w:rFonts w:cs="Arial"/>
          <w:lang w:val="en-US"/>
        </w:rPr>
        <w:lastRenderedPageBreak/>
        <w:t>At the same time, pipeline operators must manage harsh conditions, such as extreme heat, humidity and the need for explosion-proof solutions in hazardous zones. These environments demand equipment that is both durable and reliable, capable of functioning effectively despite fluctuating temperatures and corrosive elements. This complexity not only drives up operational costs but also heightens the need for stringent safety standards to ensure the longevity of infrastructure and protect personnel.</w:t>
      </w:r>
    </w:p>
    <w:p w14:paraId="1782E4F2" w14:textId="77777777" w:rsidR="00DB4142" w:rsidRPr="00B15407" w:rsidRDefault="00DB4142" w:rsidP="00DB4142">
      <w:pPr>
        <w:spacing w:line="480" w:lineRule="auto"/>
        <w:jc w:val="both"/>
        <w:rPr>
          <w:rFonts w:cs="Arial"/>
          <w:lang w:val="en-US"/>
        </w:rPr>
      </w:pPr>
    </w:p>
    <w:p w14:paraId="598088B8" w14:textId="296EDEFF" w:rsidR="00DB4142" w:rsidRPr="00B15407" w:rsidRDefault="00DB4142" w:rsidP="00DB4142">
      <w:pPr>
        <w:spacing w:line="480" w:lineRule="auto"/>
        <w:jc w:val="both"/>
        <w:rPr>
          <w:rFonts w:cs="Arial"/>
          <w:lang w:val="en-US"/>
        </w:rPr>
      </w:pPr>
      <w:r w:rsidRPr="00B15407">
        <w:rPr>
          <w:rFonts w:cs="Arial"/>
          <w:lang w:val="en-US"/>
        </w:rPr>
        <w:t xml:space="preserve">The energy sector is under increasing pressure to reduce its environmental impact. As Deloitte reports, "Oil and gas companies are focusing on increasing operational efficiency and maintaining safe, reliable operations while navigating growing environmental and regulatory pressures." Investments in new technologies must not only enhance performance but also align with global sustainability goals, such as the </w:t>
      </w:r>
      <w:hyperlink r:id="rId14" w:history="1">
        <w:r w:rsidRPr="00B15407">
          <w:rPr>
            <w:rStyle w:val="Hyperlink"/>
            <w:rFonts w:cs="Arial"/>
            <w:lang w:val="en-US"/>
          </w:rPr>
          <w:t>United Nations’ Sustainable Development Goal 7</w:t>
        </w:r>
      </w:hyperlink>
      <w:r w:rsidRPr="00B15407">
        <w:rPr>
          <w:rFonts w:cs="Arial"/>
          <w:lang w:val="en-US"/>
        </w:rPr>
        <w:t xml:space="preserve">, which aims to ensure access to affordable, reliable, sustainable, and modern energy for all, and the </w:t>
      </w:r>
      <w:hyperlink r:id="rId15" w:history="1">
        <w:r w:rsidRPr="00B15407">
          <w:rPr>
            <w:rStyle w:val="Hyperlink"/>
            <w:rFonts w:cs="Arial"/>
            <w:lang w:val="en-US"/>
          </w:rPr>
          <w:t>IEA's target</w:t>
        </w:r>
      </w:hyperlink>
      <w:r w:rsidRPr="00B15407">
        <w:rPr>
          <w:rFonts w:cs="Arial"/>
          <w:lang w:val="en-US"/>
        </w:rPr>
        <w:t xml:space="preserve"> of net-zero emissions by 2050.</w:t>
      </w:r>
    </w:p>
    <w:p w14:paraId="4AFB2047" w14:textId="77777777" w:rsidR="00DB4142" w:rsidRPr="00B15407" w:rsidRDefault="00DB4142" w:rsidP="00DB4142">
      <w:pPr>
        <w:spacing w:line="480" w:lineRule="auto"/>
        <w:jc w:val="both"/>
        <w:rPr>
          <w:rFonts w:cs="Arial"/>
          <w:lang w:val="en-US"/>
        </w:rPr>
      </w:pPr>
    </w:p>
    <w:p w14:paraId="398734B7" w14:textId="66F26589" w:rsidR="00DB4142" w:rsidRPr="00B15407" w:rsidRDefault="00DB4142" w:rsidP="00DB4142">
      <w:pPr>
        <w:spacing w:line="480" w:lineRule="auto"/>
        <w:jc w:val="both"/>
        <w:rPr>
          <w:rFonts w:cs="Arial"/>
          <w:lang w:val="en-US"/>
        </w:rPr>
      </w:pPr>
      <w:r w:rsidRPr="00B15407">
        <w:rPr>
          <w:rFonts w:cs="Arial"/>
          <w:lang w:val="en-US"/>
        </w:rPr>
        <w:t xml:space="preserve">Sustainable practices — such as transitioning to renewable energy and integrating smart technologies into energy systems — are no longer optional; they are essential for maintaining a competitive edge. </w:t>
      </w:r>
    </w:p>
    <w:p w14:paraId="3AB8E853" w14:textId="77777777" w:rsidR="00DB4142" w:rsidRPr="00B15407" w:rsidRDefault="00DB4142" w:rsidP="00DB4142">
      <w:pPr>
        <w:spacing w:line="480" w:lineRule="auto"/>
        <w:jc w:val="both"/>
        <w:rPr>
          <w:rFonts w:cs="Arial"/>
          <w:lang w:val="en-US"/>
        </w:rPr>
      </w:pPr>
    </w:p>
    <w:p w14:paraId="33A62FA7" w14:textId="1D6DA578" w:rsidR="00300ECA" w:rsidRPr="00B15407" w:rsidRDefault="00DB4142" w:rsidP="00DB4142">
      <w:pPr>
        <w:spacing w:line="480" w:lineRule="auto"/>
        <w:jc w:val="both"/>
        <w:rPr>
          <w:rFonts w:cs="Arial"/>
          <w:color w:val="FF0000"/>
          <w:lang w:val="en-US"/>
        </w:rPr>
      </w:pPr>
      <w:r w:rsidRPr="00B15407">
        <w:rPr>
          <w:rFonts w:cs="Arial"/>
          <w:lang w:val="en-US"/>
        </w:rPr>
        <w:t xml:space="preserve">Fortunately, WEG’s integrated drive solutions play a key role in boosting sustainability by reducing energy waste. Through the use of high-efficiency motors and VSDs, WEG optimises power consumption and minimises operational costs. By enhancing system </w:t>
      </w:r>
      <w:r w:rsidRPr="00B15407">
        <w:rPr>
          <w:rFonts w:cs="Arial"/>
          <w:lang w:val="en-US"/>
        </w:rPr>
        <w:lastRenderedPageBreak/>
        <w:t>performance and implementing energy-efficient technologies, WEG’s VSDs and high-efficiency motors significantly reduce energy consumption in demanding pipeline systems, directly contributing to both cost savings and sustainability.</w:t>
      </w:r>
    </w:p>
    <w:p w14:paraId="2CBAB52F" w14:textId="77777777" w:rsidR="00783984" w:rsidRPr="00B15407" w:rsidRDefault="00783984" w:rsidP="00783984">
      <w:pPr>
        <w:spacing w:line="480" w:lineRule="auto"/>
        <w:jc w:val="both"/>
        <w:rPr>
          <w:rFonts w:cs="Arial"/>
          <w:lang w:val="en-US"/>
        </w:rPr>
      </w:pPr>
    </w:p>
    <w:p w14:paraId="199AEB92" w14:textId="77777777" w:rsidR="00783984" w:rsidRPr="00B15407" w:rsidRDefault="00783984" w:rsidP="00783984">
      <w:pPr>
        <w:spacing w:line="480" w:lineRule="auto"/>
        <w:jc w:val="both"/>
        <w:rPr>
          <w:rFonts w:cs="Arial"/>
          <w:b/>
          <w:bCs/>
          <w:lang w:val="en-US"/>
        </w:rPr>
      </w:pPr>
      <w:r w:rsidRPr="00B15407">
        <w:rPr>
          <w:rFonts w:cs="Arial"/>
          <w:b/>
          <w:bCs/>
          <w:lang w:val="en-US"/>
        </w:rPr>
        <w:t xml:space="preserve">Better control over energy consumption </w:t>
      </w:r>
    </w:p>
    <w:p w14:paraId="674BFF80" w14:textId="01C95392" w:rsidR="00783984" w:rsidRPr="00B15407" w:rsidRDefault="00783984" w:rsidP="00783984">
      <w:pPr>
        <w:spacing w:line="480" w:lineRule="auto"/>
        <w:jc w:val="both"/>
        <w:rPr>
          <w:rFonts w:cs="Arial"/>
          <w:lang w:val="en-US"/>
        </w:rPr>
      </w:pPr>
      <w:r w:rsidRPr="00B15407">
        <w:rPr>
          <w:rFonts w:cs="Arial"/>
          <w:lang w:val="en-US"/>
        </w:rPr>
        <w:t xml:space="preserve">To address these barriers, industry is increasingly turning to technology that improves efficiency and safety. One such solution is the integration of </w:t>
      </w:r>
      <w:hyperlink r:id="rId16" w:history="1">
        <w:r w:rsidRPr="00B15407">
          <w:rPr>
            <w:rStyle w:val="Hyperlink"/>
            <w:rFonts w:cs="Arial"/>
            <w:lang w:val="en-US"/>
          </w:rPr>
          <w:t>VSDs</w:t>
        </w:r>
      </w:hyperlink>
      <w:r w:rsidRPr="00B15407">
        <w:rPr>
          <w:rFonts w:cs="Arial"/>
          <w:lang w:val="en-US"/>
        </w:rPr>
        <w:t>, which allow for better control over energy consumption by adjusting motor speed to match operational demand. By integrating VSDs, the energy usage can be optimised to only what is necessary at any given time, reducing waste and increasing overall energy efficiency.</w:t>
      </w:r>
    </w:p>
    <w:p w14:paraId="66F66E1E" w14:textId="77777777" w:rsidR="00783984" w:rsidRPr="00B15407" w:rsidRDefault="00783984" w:rsidP="00783984">
      <w:pPr>
        <w:spacing w:line="480" w:lineRule="auto"/>
        <w:jc w:val="both"/>
        <w:rPr>
          <w:rFonts w:cs="Arial"/>
          <w:lang w:val="en-US"/>
        </w:rPr>
      </w:pPr>
    </w:p>
    <w:p w14:paraId="6995CBEE" w14:textId="41C6EC07" w:rsidR="00783984" w:rsidRPr="00B15407" w:rsidRDefault="00300ECA" w:rsidP="00783984">
      <w:pPr>
        <w:spacing w:line="480" w:lineRule="auto"/>
        <w:jc w:val="both"/>
        <w:rPr>
          <w:rFonts w:cs="Arial"/>
          <w:lang w:val="en-US"/>
        </w:rPr>
      </w:pPr>
      <w:r w:rsidRPr="00B15407">
        <w:rPr>
          <w:rFonts w:cs="Arial"/>
        </w:rPr>
        <w:t xml:space="preserve">Additionally, advancements in motor technologies, such as </w:t>
      </w:r>
      <w:hyperlink r:id="rId17" w:history="1">
        <w:r w:rsidRPr="00B15407">
          <w:rPr>
            <w:rStyle w:val="Hyperlink"/>
            <w:rFonts w:cs="Arial"/>
          </w:rPr>
          <w:t>WEG’s W22Xdb explosion-proof motors</w:t>
        </w:r>
      </w:hyperlink>
      <w:r w:rsidRPr="00B15407">
        <w:rPr>
          <w:rFonts w:cs="Arial"/>
        </w:rPr>
        <w:t xml:space="preserve"> </w:t>
      </w:r>
      <w:r w:rsidR="0076468B" w:rsidRPr="00B15407">
        <w:rPr>
          <w:rFonts w:cs="Arial"/>
        </w:rPr>
        <w:t xml:space="preserve">and the high-efficiency </w:t>
      </w:r>
      <w:hyperlink r:id="rId18" w:history="1">
        <w:r w:rsidR="0076468B" w:rsidRPr="00B15407">
          <w:rPr>
            <w:rStyle w:val="Hyperlink"/>
            <w:rFonts w:cs="Arial"/>
          </w:rPr>
          <w:t>WEG W22 motor series</w:t>
        </w:r>
      </w:hyperlink>
      <w:r w:rsidRPr="00B15407">
        <w:rPr>
          <w:rFonts w:cs="Arial"/>
        </w:rPr>
        <w:t>, help ensure that equipment can withstand the extreme environments of oilfields and marine applications.</w:t>
      </w:r>
      <w:r w:rsidR="00783984" w:rsidRPr="00B15407">
        <w:rPr>
          <w:rFonts w:cs="Arial"/>
          <w:lang w:val="en-US"/>
        </w:rPr>
        <w:t xml:space="preserve"> With greater attention paid to energy efficiency, motors now deliver higher outputs with reduced energy input, helping companies address their energy consumption challenges while ensuring high reliability. These motor solutions are designed to work seamlessly in industries that rely heavily on high-volume, continuous processes — such as those in the oil, gas and water treatment sectors.</w:t>
      </w:r>
    </w:p>
    <w:p w14:paraId="5E57C1E3" w14:textId="77777777" w:rsidR="00783984" w:rsidRPr="00B15407" w:rsidRDefault="00783984" w:rsidP="00783984">
      <w:pPr>
        <w:spacing w:line="480" w:lineRule="auto"/>
        <w:jc w:val="both"/>
        <w:rPr>
          <w:rFonts w:cs="Arial"/>
          <w:lang w:val="en-US"/>
        </w:rPr>
      </w:pPr>
    </w:p>
    <w:p w14:paraId="32BD6206" w14:textId="77777777" w:rsidR="00783984" w:rsidRPr="00B15407" w:rsidRDefault="00783984" w:rsidP="00783984">
      <w:pPr>
        <w:spacing w:line="480" w:lineRule="auto"/>
        <w:jc w:val="both"/>
        <w:rPr>
          <w:rFonts w:cs="Arial"/>
          <w:lang w:val="en-US"/>
        </w:rPr>
      </w:pPr>
      <w:r w:rsidRPr="00B15407">
        <w:rPr>
          <w:rFonts w:cs="Arial"/>
          <w:lang w:val="en-US"/>
        </w:rPr>
        <w:t xml:space="preserve">There is also a strong focus on smart infrastructure. For example, the incorporation of remote operation technologies enables operators to monitor systems from afar, ensuring the continuous flow of oil and gas while minimising downtime. Digital technologies such </w:t>
      </w:r>
      <w:r w:rsidRPr="00B15407">
        <w:rPr>
          <w:rFonts w:cs="Arial"/>
          <w:lang w:val="en-US"/>
        </w:rPr>
        <w:lastRenderedPageBreak/>
        <w:t>as predictive maintenance systems and remote diagnostics help identify potential issues before they escalate, reducing unplanned maintenance and enhancing the lifetime of critical assets. However, achieving the right balance of energy efficiency, safety and operational effectiveness in critical systems remains a key challenge.</w:t>
      </w:r>
    </w:p>
    <w:p w14:paraId="4F67A39D" w14:textId="77777777" w:rsidR="00783984" w:rsidRPr="00B15407" w:rsidRDefault="00783984" w:rsidP="00783984">
      <w:pPr>
        <w:spacing w:line="480" w:lineRule="auto"/>
        <w:jc w:val="both"/>
        <w:rPr>
          <w:rFonts w:cs="Arial"/>
          <w:lang w:val="en-US"/>
        </w:rPr>
      </w:pPr>
    </w:p>
    <w:p w14:paraId="26663D9F" w14:textId="77777777" w:rsidR="00783984" w:rsidRPr="00B15407" w:rsidRDefault="00783984" w:rsidP="00783984">
      <w:pPr>
        <w:spacing w:line="480" w:lineRule="auto"/>
        <w:jc w:val="both"/>
        <w:rPr>
          <w:rFonts w:cs="Arial"/>
          <w:b/>
          <w:bCs/>
          <w:lang w:val="en-US"/>
        </w:rPr>
      </w:pPr>
      <w:r w:rsidRPr="00B15407">
        <w:rPr>
          <w:rFonts w:cs="Arial"/>
          <w:b/>
          <w:bCs/>
          <w:lang w:val="en-US"/>
        </w:rPr>
        <w:t>Peak efficiency under intense desert heat</w:t>
      </w:r>
    </w:p>
    <w:p w14:paraId="3B56D481" w14:textId="77777777" w:rsidR="00783984" w:rsidRPr="00B15407" w:rsidRDefault="00783984" w:rsidP="00783984">
      <w:pPr>
        <w:spacing w:line="480" w:lineRule="auto"/>
        <w:jc w:val="both"/>
        <w:rPr>
          <w:rFonts w:cs="Arial"/>
          <w:lang w:val="en-US"/>
        </w:rPr>
      </w:pPr>
      <w:r w:rsidRPr="00B15407">
        <w:rPr>
          <w:rFonts w:cs="Arial"/>
          <w:lang w:val="en-US"/>
        </w:rPr>
        <w:t xml:space="preserve">WEG is at the forefront of providing solutions that address these complex challenges, particularly in the UAE’s key energy infrastructure projects. A notable example is WEG’s involvement in a $2.4 billion water injection project designed to increase oil production while reducing energy consumption. The project, which will replace an outdated high — salinity water system, is expected to reduce energy usage by up to 30 per cent and be powered entirely by renewable energy. </w:t>
      </w:r>
    </w:p>
    <w:p w14:paraId="57FC0B4B" w14:textId="77777777" w:rsidR="00783984" w:rsidRPr="00B15407" w:rsidRDefault="00783984" w:rsidP="00783984">
      <w:pPr>
        <w:spacing w:line="480" w:lineRule="auto"/>
        <w:jc w:val="both"/>
        <w:rPr>
          <w:rFonts w:cs="Arial"/>
          <w:lang w:val="en-US"/>
        </w:rPr>
      </w:pPr>
    </w:p>
    <w:p w14:paraId="4338EB6D" w14:textId="6124B800" w:rsidR="00A931EE" w:rsidRPr="00B15407" w:rsidRDefault="00783984" w:rsidP="00783984">
      <w:pPr>
        <w:spacing w:line="480" w:lineRule="auto"/>
        <w:jc w:val="both"/>
      </w:pPr>
      <w:r w:rsidRPr="00B15407">
        <w:rPr>
          <w:rFonts w:cs="Arial"/>
          <w:lang w:val="en-US"/>
        </w:rPr>
        <w:t>WEG’s integrated drive solutions</w:t>
      </w:r>
      <w:r w:rsidR="00C70DD0" w:rsidRPr="00B15407">
        <w:rPr>
          <w:rFonts w:cs="Arial"/>
          <w:lang w:val="en-US"/>
        </w:rPr>
        <w:t xml:space="preserve"> </w:t>
      </w:r>
      <w:r w:rsidRPr="00B15407">
        <w:rPr>
          <w:rFonts w:cs="Arial"/>
          <w:lang w:val="en-US"/>
        </w:rPr>
        <w:t>are central to driving the water injection pumps that form the backbone of this innovative infrastructure.</w:t>
      </w:r>
      <w:r w:rsidR="00E34E47" w:rsidRPr="00B15407">
        <w:t xml:space="preserve"> </w:t>
      </w:r>
      <w:r w:rsidR="00A931EE" w:rsidRPr="00B15407">
        <w:t xml:space="preserve">The company will provide 21 integrated drive packages, featuring </w:t>
      </w:r>
      <w:hyperlink r:id="rId19" w:history="1">
        <w:r w:rsidR="00A931EE" w:rsidRPr="00B15407">
          <w:rPr>
            <w:rStyle w:val="Hyperlink"/>
          </w:rPr>
          <w:t>WEG M-Line (Master Line)</w:t>
        </w:r>
      </w:hyperlink>
      <w:r w:rsidR="00A931EE" w:rsidRPr="00B15407">
        <w:t xml:space="preserve"> 6.6 kV medium voltage motors with power ratings ranging from 6.63 MW to 11.97 MW, along with </w:t>
      </w:r>
      <w:hyperlink r:id="rId20" w:history="1">
        <w:r w:rsidR="00A931EE" w:rsidRPr="00B15407">
          <w:rPr>
            <w:rStyle w:val="Hyperlink"/>
          </w:rPr>
          <w:t>MVW01 medium voltage VSDs</w:t>
        </w:r>
      </w:hyperlink>
      <w:r w:rsidR="00A931EE" w:rsidRPr="00B15407">
        <w:t xml:space="preserve"> and oil-type </w:t>
      </w:r>
      <w:hyperlink r:id="rId21" w:history="1">
        <w:r w:rsidR="00A931EE" w:rsidRPr="00B15407">
          <w:rPr>
            <w:rStyle w:val="Hyperlink"/>
          </w:rPr>
          <w:t>phase-shifting transformers</w:t>
        </w:r>
      </w:hyperlink>
      <w:r w:rsidR="00A931EE" w:rsidRPr="00B15407">
        <w:t>.</w:t>
      </w:r>
    </w:p>
    <w:p w14:paraId="669CA060" w14:textId="77777777" w:rsidR="00783984" w:rsidRPr="00B15407" w:rsidRDefault="00783984" w:rsidP="00783984">
      <w:pPr>
        <w:spacing w:line="480" w:lineRule="auto"/>
        <w:jc w:val="both"/>
        <w:rPr>
          <w:rFonts w:cs="Arial"/>
          <w:lang w:val="en-US"/>
        </w:rPr>
      </w:pPr>
    </w:p>
    <w:p w14:paraId="13EBD4B0" w14:textId="28672831" w:rsidR="00783984" w:rsidRPr="00B15407" w:rsidRDefault="00783984" w:rsidP="00783984">
      <w:pPr>
        <w:spacing w:line="480" w:lineRule="auto"/>
        <w:jc w:val="both"/>
        <w:rPr>
          <w:rFonts w:cs="Arial"/>
          <w:lang w:val="en-US"/>
        </w:rPr>
      </w:pPr>
      <w:r w:rsidRPr="00B15407">
        <w:rPr>
          <w:rFonts w:cs="Arial"/>
          <w:lang w:val="en-US"/>
        </w:rPr>
        <w:t xml:space="preserve">This sophisticated system will treat seawater and deliver over 110 million imperial gallons of nano-filtered seawater per day, utilising a vast transportation network spanning 75 kilometres of pipelines. The integration of WEG’s systems in this high-performance </w:t>
      </w:r>
      <w:r w:rsidRPr="00B15407">
        <w:rPr>
          <w:rFonts w:cs="Arial"/>
          <w:lang w:val="en-US"/>
        </w:rPr>
        <w:lastRenderedPageBreak/>
        <w:t xml:space="preserve">environment ensures that the pumps operate at peak efficiency, even under the intense desert heat of the UAE. </w:t>
      </w:r>
    </w:p>
    <w:p w14:paraId="7ECA70D7" w14:textId="77777777" w:rsidR="00300ECA" w:rsidRPr="00B15407" w:rsidRDefault="00300ECA" w:rsidP="00783984">
      <w:pPr>
        <w:spacing w:line="480" w:lineRule="auto"/>
        <w:jc w:val="both"/>
        <w:rPr>
          <w:rFonts w:cs="Arial"/>
          <w:lang w:val="en-US"/>
        </w:rPr>
      </w:pPr>
    </w:p>
    <w:p w14:paraId="556E6BB3" w14:textId="77777777" w:rsidR="00601263" w:rsidRPr="00B15407" w:rsidRDefault="00300ECA" w:rsidP="00783984">
      <w:pPr>
        <w:spacing w:line="480" w:lineRule="auto"/>
        <w:jc w:val="both"/>
        <w:rPr>
          <w:rFonts w:cs="Arial"/>
          <w:lang w:val="en-US"/>
        </w:rPr>
      </w:pPr>
      <w:r w:rsidRPr="00B15407">
        <w:rPr>
          <w:rFonts w:cs="Arial"/>
          <w:lang w:val="en-US"/>
        </w:rPr>
        <w:t>In addition</w:t>
      </w:r>
      <w:r w:rsidR="00783984" w:rsidRPr="00B15407">
        <w:rPr>
          <w:rFonts w:cs="Arial"/>
          <w:lang w:val="en-US"/>
        </w:rPr>
        <w:t xml:space="preserve">, WEG is also supporting the Abu Dhabi National Oil Company (ADNOC) in a crucial oil pipeline project. This $3 billion infrastructure, spanning over 300 kilometres, will transport up to 1.5 million barrels of crude oil daily from Abu Dhabi to Fujairah. </w:t>
      </w:r>
    </w:p>
    <w:p w14:paraId="10274BBB" w14:textId="77777777" w:rsidR="00A931EE" w:rsidRPr="00B15407" w:rsidRDefault="00A931EE" w:rsidP="00783984">
      <w:pPr>
        <w:spacing w:line="480" w:lineRule="auto"/>
        <w:jc w:val="both"/>
        <w:rPr>
          <w:rFonts w:cs="Arial"/>
          <w:lang w:val="en-US"/>
        </w:rPr>
      </w:pPr>
    </w:p>
    <w:p w14:paraId="69124B69" w14:textId="1EB3B640" w:rsidR="00A931EE" w:rsidRPr="00B15407" w:rsidRDefault="00A931EE" w:rsidP="00A931EE">
      <w:pPr>
        <w:spacing w:line="480" w:lineRule="auto"/>
        <w:jc w:val="both"/>
        <w:rPr>
          <w:rFonts w:cs="Arial"/>
          <w:lang w:val="en-US"/>
        </w:rPr>
      </w:pPr>
      <w:r w:rsidRPr="00B15407">
        <w:rPr>
          <w:rFonts w:cs="Arial"/>
          <w:lang w:val="en-US"/>
        </w:rPr>
        <w:t xml:space="preserve">WEG will supply 20 medium-voltage flameproof motors to </w:t>
      </w:r>
      <w:r w:rsidRPr="00B15407">
        <w:t>drive multiple horizontal centrifugal pumps</w:t>
      </w:r>
      <w:r w:rsidRPr="00B15407">
        <w:rPr>
          <w:rFonts w:cs="Arial"/>
          <w:lang w:val="en-US"/>
        </w:rPr>
        <w:t>. This includes nine W22Xdb 3.3 kV, 50 Hz units (850 kW–990 kW) and eleven 6.6 kV M-Line motors (6,710 kW–6,980 kW), all designed to withstand the harsh Arabian desert heat (up to 55 °C) and are IP55-certified for dust and water protection.</w:t>
      </w:r>
    </w:p>
    <w:p w14:paraId="63E4D6BB" w14:textId="77777777" w:rsidR="00A931EE" w:rsidRPr="00B15407" w:rsidRDefault="00A931EE" w:rsidP="00A931EE">
      <w:pPr>
        <w:spacing w:line="480" w:lineRule="auto"/>
        <w:jc w:val="both"/>
        <w:rPr>
          <w:rFonts w:cs="Arial"/>
          <w:lang w:val="en-US"/>
        </w:rPr>
      </w:pPr>
    </w:p>
    <w:p w14:paraId="5DB2E383" w14:textId="77777777" w:rsidR="00204A75" w:rsidRPr="00B15407" w:rsidRDefault="00A931EE" w:rsidP="00783984">
      <w:pPr>
        <w:spacing w:line="480" w:lineRule="auto"/>
        <w:jc w:val="both"/>
        <w:rPr>
          <w:rFonts w:cs="Arial"/>
          <w:lang w:val="en-US"/>
        </w:rPr>
      </w:pPr>
      <w:r w:rsidRPr="00B15407">
        <w:rPr>
          <w:rFonts w:cs="Arial"/>
          <w:lang w:val="en-US"/>
        </w:rPr>
        <w:t xml:space="preserve">To optimise energy efficiency and safety, the solution features integrated arc-resistant VSDs, which </w:t>
      </w:r>
      <w:r w:rsidRPr="00B15407">
        <w:t>are capable of absorbing any explosions caused by sudden electric arcs, protecting pump operators and maintenance personnel working on site</w:t>
      </w:r>
      <w:r w:rsidRPr="00B15407">
        <w:rPr>
          <w:rFonts w:cs="Arial"/>
          <w:lang w:val="en-US"/>
        </w:rPr>
        <w:t xml:space="preserve">. </w:t>
      </w:r>
    </w:p>
    <w:p w14:paraId="4BE04D79" w14:textId="77777777" w:rsidR="00204A75" w:rsidRPr="00B15407" w:rsidRDefault="00204A75" w:rsidP="00783984">
      <w:pPr>
        <w:spacing w:line="480" w:lineRule="auto"/>
        <w:jc w:val="both"/>
        <w:rPr>
          <w:rFonts w:cs="Arial"/>
          <w:lang w:val="en-US"/>
        </w:rPr>
      </w:pPr>
    </w:p>
    <w:p w14:paraId="5939EA17" w14:textId="32CF0ADB" w:rsidR="00783984" w:rsidRPr="00B15407" w:rsidRDefault="00A931EE" w:rsidP="00783984">
      <w:pPr>
        <w:spacing w:line="480" w:lineRule="auto"/>
        <w:jc w:val="both"/>
        <w:rPr>
          <w:rFonts w:cs="Arial"/>
          <w:lang w:val="en-US"/>
        </w:rPr>
      </w:pPr>
      <w:r w:rsidRPr="00B15407">
        <w:rPr>
          <w:rFonts w:cs="Arial"/>
          <w:lang w:val="en-US"/>
        </w:rPr>
        <w:t>This combination of WEG motors, VSDs and transformers ensures the pipeline’s horizontal pumps perform reliably in extreme desert conditions while maximising safety and efficiency.</w:t>
      </w:r>
      <w:r w:rsidR="00204A75" w:rsidRPr="00B15407">
        <w:rPr>
          <w:rFonts w:cs="Arial"/>
          <w:lang w:val="en-US"/>
        </w:rPr>
        <w:t xml:space="preserve"> </w:t>
      </w:r>
      <w:r w:rsidR="00783984" w:rsidRPr="00B15407">
        <w:rPr>
          <w:rFonts w:cs="Arial"/>
          <w:lang w:val="en-US"/>
        </w:rPr>
        <w:t>The ability of WEG to provide an integrated, customisable solution for such complex systems speaks to the company’s extensive experience in the oil and gas industry.</w:t>
      </w:r>
    </w:p>
    <w:p w14:paraId="0B2690E5" w14:textId="77777777" w:rsidR="00783984" w:rsidRPr="00B15407" w:rsidRDefault="00783984" w:rsidP="00783984">
      <w:pPr>
        <w:spacing w:line="480" w:lineRule="auto"/>
        <w:jc w:val="both"/>
        <w:rPr>
          <w:rFonts w:cs="Arial"/>
          <w:lang w:val="en-US"/>
        </w:rPr>
      </w:pPr>
    </w:p>
    <w:p w14:paraId="1DD66832" w14:textId="77777777" w:rsidR="00783984" w:rsidRPr="00B15407" w:rsidRDefault="00783984" w:rsidP="00783984">
      <w:pPr>
        <w:spacing w:line="480" w:lineRule="auto"/>
        <w:jc w:val="both"/>
        <w:rPr>
          <w:rFonts w:cs="Arial"/>
          <w:lang w:val="en-US"/>
        </w:rPr>
      </w:pPr>
      <w:r w:rsidRPr="00B15407">
        <w:rPr>
          <w:rFonts w:cs="Arial"/>
          <w:lang w:val="en-US"/>
        </w:rPr>
        <w:lastRenderedPageBreak/>
        <w:t>As the UAE continues to invest in advanced energy infrastructure, WEG’s innovations in motor technology, VSDs and digital solutions are helping the energy sector transform and adapt to modern challenges. As the energy sector continues to evolve, WEG’s commitment to innovation and sustainability will remain a cornerstone of its contribution to the UAE’s key energy projects.</w:t>
      </w:r>
    </w:p>
    <w:p w14:paraId="211362A8" w14:textId="77777777" w:rsidR="00783984" w:rsidRPr="00B15407" w:rsidRDefault="00783984" w:rsidP="00783984">
      <w:pPr>
        <w:spacing w:line="480" w:lineRule="auto"/>
        <w:jc w:val="both"/>
        <w:rPr>
          <w:rFonts w:cs="Arial"/>
          <w:lang w:val="en-US"/>
        </w:rPr>
      </w:pPr>
    </w:p>
    <w:p w14:paraId="1CC12306" w14:textId="350D18E1" w:rsidR="00783984" w:rsidRPr="00783984" w:rsidRDefault="00783984" w:rsidP="000F78F9">
      <w:pPr>
        <w:spacing w:line="480" w:lineRule="auto"/>
        <w:jc w:val="both"/>
        <w:rPr>
          <w:rFonts w:cs="Arial"/>
          <w:i/>
          <w:iCs/>
          <w:lang w:val="en-US"/>
        </w:rPr>
      </w:pPr>
      <w:r w:rsidRPr="00B15407">
        <w:rPr>
          <w:rFonts w:cs="Arial"/>
          <w:i/>
          <w:iCs/>
          <w:lang w:val="en-US"/>
        </w:rPr>
        <w:t xml:space="preserve">To learn more about </w:t>
      </w:r>
      <w:r w:rsidR="00533310" w:rsidRPr="00B15407">
        <w:rPr>
          <w:rFonts w:cs="Arial"/>
          <w:i/>
          <w:iCs/>
          <w:lang w:val="en-US"/>
        </w:rPr>
        <w:t xml:space="preserve">how </w:t>
      </w:r>
      <w:r w:rsidRPr="00B15407">
        <w:rPr>
          <w:rFonts w:cs="Arial"/>
          <w:i/>
          <w:iCs/>
          <w:lang w:val="en-US"/>
        </w:rPr>
        <w:t xml:space="preserve">WEG’s </w:t>
      </w:r>
      <w:hyperlink r:id="rId22" w:history="1">
        <w:r w:rsidRPr="00B15407">
          <w:rPr>
            <w:rStyle w:val="Hyperlink"/>
            <w:rFonts w:cs="Arial"/>
            <w:i/>
            <w:iCs/>
            <w:lang w:val="en-US"/>
          </w:rPr>
          <w:t>motor and drive solutions</w:t>
        </w:r>
      </w:hyperlink>
      <w:r w:rsidRPr="00B15407">
        <w:rPr>
          <w:rFonts w:cs="Arial"/>
          <w:i/>
          <w:iCs/>
          <w:lang w:val="en-US"/>
        </w:rPr>
        <w:t xml:space="preserve"> can improve efficiency and sustainability in pipeline management, visit its website.</w:t>
      </w:r>
    </w:p>
    <w:p w14:paraId="5D2DCB52" w14:textId="77777777" w:rsidR="003E5474" w:rsidRPr="005076D1" w:rsidRDefault="003E5474" w:rsidP="003E5474">
      <w:pPr>
        <w:rPr>
          <w:rFonts w:cs="Arial"/>
        </w:rPr>
      </w:pPr>
    </w:p>
    <w:p w14:paraId="5D2DCB53" w14:textId="59D07D65"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783984">
        <w:rPr>
          <w:rFonts w:eastAsia="MS Mincho" w:cs="Arial"/>
        </w:rPr>
        <w:t>1</w:t>
      </w:r>
      <w:r w:rsidR="00204A75">
        <w:rPr>
          <w:rFonts w:eastAsia="MS Mincho" w:cs="Arial"/>
        </w:rPr>
        <w:t>2</w:t>
      </w:r>
      <w:r w:rsidR="00EA6463">
        <w:rPr>
          <w:rFonts w:eastAsia="MS Mincho" w:cs="Arial"/>
        </w:rPr>
        <w:t>41</w:t>
      </w:r>
      <w:r w:rsidR="0089074E">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326AE4BA" w:rsidR="00924FCE" w:rsidRDefault="00924FCE" w:rsidP="008A6A7A">
      <w:pPr>
        <w:rPr>
          <w:rFonts w:eastAsia="MS Mincho"/>
          <w:b/>
          <w:color w:val="FF9933"/>
        </w:rPr>
      </w:pPr>
      <w:r w:rsidRPr="00F603CF">
        <w:rPr>
          <w:rFonts w:eastAsia="MS Mincho"/>
          <w:b/>
          <w:color w:val="4472C4"/>
        </w:rPr>
        <w:t>Image caption:</w:t>
      </w:r>
      <w:r w:rsidRPr="008A6A7A">
        <w:rPr>
          <w:rFonts w:eastAsia="MS Mincho"/>
          <w:b/>
          <w:color w:val="FF9933"/>
        </w:rPr>
        <w:t xml:space="preserve"> </w:t>
      </w:r>
    </w:p>
    <w:p w14:paraId="4C0247B7" w14:textId="77777777" w:rsidR="000D246A" w:rsidRDefault="000D246A" w:rsidP="008A6A7A">
      <w:pPr>
        <w:rPr>
          <w:rFonts w:eastAsia="MS Mincho"/>
          <w:b/>
          <w:color w:val="FF9933"/>
        </w:rPr>
      </w:pPr>
    </w:p>
    <w:p w14:paraId="75F27516" w14:textId="77777777" w:rsidR="00B15407" w:rsidRDefault="00B15407" w:rsidP="00B15407">
      <w:pPr>
        <w:rPr>
          <w:i/>
          <w:iCs/>
        </w:rPr>
      </w:pPr>
      <w:r>
        <w:t xml:space="preserve">Image one — </w:t>
      </w:r>
      <w:r w:rsidRPr="00EF47D5">
        <w:rPr>
          <w:i/>
          <w:iCs/>
        </w:rPr>
        <w:t xml:space="preserve">In the </w:t>
      </w:r>
      <w:r>
        <w:rPr>
          <w:i/>
          <w:iCs/>
        </w:rPr>
        <w:t xml:space="preserve">United Arab Emirates (UAE)’s </w:t>
      </w:r>
      <w:r w:rsidRPr="00EF47D5">
        <w:rPr>
          <w:i/>
          <w:iCs/>
        </w:rPr>
        <w:t>oil and gas sector, WEG’s motor technologies help reduce energy consumption and enhance the sustainability of critical pipeline systems.</w:t>
      </w:r>
    </w:p>
    <w:p w14:paraId="24BD848D" w14:textId="77777777" w:rsidR="00B15407" w:rsidRDefault="00B15407" w:rsidP="00B15407"/>
    <w:p w14:paraId="7182C5A0" w14:textId="77777777" w:rsidR="00B15407" w:rsidRPr="00EF47D5" w:rsidRDefault="00B15407" w:rsidP="00B15407">
      <w:pPr>
        <w:rPr>
          <w:i/>
          <w:iCs/>
        </w:rPr>
      </w:pPr>
      <w:r>
        <w:t xml:space="preserve">Image two — </w:t>
      </w:r>
      <w:r w:rsidRPr="00EF47D5">
        <w:rPr>
          <w:i/>
          <w:iCs/>
        </w:rPr>
        <w:t>Energy efficiency is a key concern in pipeline systems, especially for water injection systems in oilfields.</w:t>
      </w:r>
    </w:p>
    <w:p w14:paraId="3E8B85C6" w14:textId="77777777" w:rsidR="00B15407" w:rsidRDefault="00B15407" w:rsidP="00B15407"/>
    <w:p w14:paraId="40E48170" w14:textId="1592DF41" w:rsidR="00B15407" w:rsidRPr="00B77F7E" w:rsidRDefault="00B15407" w:rsidP="00B15407">
      <w:r>
        <w:t xml:space="preserve">Image three — </w:t>
      </w:r>
      <w:r w:rsidRPr="00EF47D5">
        <w:rPr>
          <w:i/>
          <w:iCs/>
        </w:rPr>
        <w:t>WEG's W51Xdb is a compact, flameproof motor with the highest power density in its class, boosting pipeline efficiency and safety in explosive environments.</w:t>
      </w:r>
    </w:p>
    <w:p w14:paraId="3BCB4CF0" w14:textId="77777777" w:rsidR="00B15407" w:rsidRPr="008A6A7A" w:rsidRDefault="00B15407" w:rsidP="008A6A7A"/>
    <w:p w14:paraId="5D2DCB56" w14:textId="77777777" w:rsidR="00924FCE" w:rsidRPr="008A6A7A" w:rsidRDefault="00924FCE" w:rsidP="008A6A7A">
      <w:pPr>
        <w:rPr>
          <w:rFonts w:eastAsia="MS Mincho"/>
        </w:rPr>
      </w:pPr>
    </w:p>
    <w:p w14:paraId="36F1DB4B" w14:textId="77777777" w:rsidR="000D246A" w:rsidRDefault="000D246A" w:rsidP="008A6A7A">
      <w:pPr>
        <w:rPr>
          <w:rFonts w:eastAsia="MS Mincho"/>
          <w:b/>
          <w:bCs/>
          <w:color w:val="4472C4"/>
        </w:rPr>
      </w:pPr>
    </w:p>
    <w:p w14:paraId="5D2DCB57" w14:textId="1D573DFD"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2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24"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5"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7"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lastRenderedPageBreak/>
        <w:t>www:</w:t>
      </w:r>
      <w:r w:rsidRPr="008A6A7A">
        <w:rPr>
          <w:rFonts w:eastAsia="MS Mincho"/>
          <w:color w:val="00B050"/>
          <w:spacing w:val="-3"/>
          <w:lang w:val="de-DE"/>
        </w:rPr>
        <w:t xml:space="preserve"> </w:t>
      </w:r>
      <w:hyperlink r:id="rId2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30"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31"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32"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33"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74E1DA86"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5568E2">
        <w:rPr>
          <w:rFonts w:eastAsia="MS Mincho" w:cs="Arial"/>
          <w:spacing w:val="-3"/>
        </w:rPr>
        <w:t>1243</w:t>
      </w:r>
      <w:r w:rsidRPr="005076D1">
        <w:rPr>
          <w:rFonts w:eastAsia="MS Mincho" w:cs="Arial"/>
          <w:spacing w:val="-3"/>
        </w:rPr>
        <w:t>/</w:t>
      </w:r>
      <w:r w:rsidR="005568E2">
        <w:rPr>
          <w:rFonts w:eastAsia="MS Mincho" w:cs="Arial"/>
          <w:spacing w:val="-3"/>
        </w:rPr>
        <w:t>01</w:t>
      </w:r>
      <w:r w:rsidRPr="005076D1">
        <w:rPr>
          <w:rFonts w:eastAsia="MS Mincho" w:cs="Arial"/>
          <w:spacing w:val="-3"/>
        </w:rPr>
        <w:t>/</w:t>
      </w:r>
      <w:r w:rsidR="005568E2">
        <w:rPr>
          <w:rFonts w:eastAsia="MS Mincho" w:cs="Arial"/>
          <w:spacing w:val="-3"/>
        </w:rPr>
        <w:t>25</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3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56C22" w14:textId="77777777" w:rsidR="003B1956" w:rsidRDefault="003B1956" w:rsidP="00C0175F">
      <w:r>
        <w:separator/>
      </w:r>
    </w:p>
  </w:endnote>
  <w:endnote w:type="continuationSeparator" w:id="0">
    <w:p w14:paraId="28F6DF5D" w14:textId="77777777" w:rsidR="003B1956" w:rsidRDefault="003B1956"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025D3" w14:textId="77777777" w:rsidR="003B1956" w:rsidRDefault="003B1956" w:rsidP="00C0175F">
      <w:r>
        <w:separator/>
      </w:r>
    </w:p>
  </w:footnote>
  <w:footnote w:type="continuationSeparator" w:id="0">
    <w:p w14:paraId="38CA0AA0" w14:textId="77777777" w:rsidR="003B1956" w:rsidRDefault="003B1956"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90620"/>
    <w:rsid w:val="00097000"/>
    <w:rsid w:val="000B6F34"/>
    <w:rsid w:val="000B7E0B"/>
    <w:rsid w:val="000C2851"/>
    <w:rsid w:val="000D246A"/>
    <w:rsid w:val="000D6C36"/>
    <w:rsid w:val="000F78F9"/>
    <w:rsid w:val="0010339A"/>
    <w:rsid w:val="00155A4E"/>
    <w:rsid w:val="00155C9B"/>
    <w:rsid w:val="00165FE6"/>
    <w:rsid w:val="00171989"/>
    <w:rsid w:val="001749B1"/>
    <w:rsid w:val="00197617"/>
    <w:rsid w:val="001A439F"/>
    <w:rsid w:val="001B1EC8"/>
    <w:rsid w:val="001B2D8F"/>
    <w:rsid w:val="001C062A"/>
    <w:rsid w:val="001C4B73"/>
    <w:rsid w:val="001D6804"/>
    <w:rsid w:val="001D6E3F"/>
    <w:rsid w:val="001E4240"/>
    <w:rsid w:val="00204A75"/>
    <w:rsid w:val="002729EE"/>
    <w:rsid w:val="002A1459"/>
    <w:rsid w:val="002A4040"/>
    <w:rsid w:val="002B0EAE"/>
    <w:rsid w:val="002B2F32"/>
    <w:rsid w:val="002B5A47"/>
    <w:rsid w:val="002E58A3"/>
    <w:rsid w:val="00300ECA"/>
    <w:rsid w:val="0030281F"/>
    <w:rsid w:val="00302AA3"/>
    <w:rsid w:val="00304A12"/>
    <w:rsid w:val="00344857"/>
    <w:rsid w:val="00351818"/>
    <w:rsid w:val="003646FD"/>
    <w:rsid w:val="003708FC"/>
    <w:rsid w:val="00382C38"/>
    <w:rsid w:val="00387BB5"/>
    <w:rsid w:val="00396D46"/>
    <w:rsid w:val="00397F17"/>
    <w:rsid w:val="003A239B"/>
    <w:rsid w:val="003A7BBA"/>
    <w:rsid w:val="003B1956"/>
    <w:rsid w:val="003E5474"/>
    <w:rsid w:val="004046B9"/>
    <w:rsid w:val="004225DF"/>
    <w:rsid w:val="00463485"/>
    <w:rsid w:val="004735DA"/>
    <w:rsid w:val="00492E4F"/>
    <w:rsid w:val="004948DB"/>
    <w:rsid w:val="004A2AA0"/>
    <w:rsid w:val="004D1123"/>
    <w:rsid w:val="004F23C4"/>
    <w:rsid w:val="00500E9F"/>
    <w:rsid w:val="005076D1"/>
    <w:rsid w:val="00520815"/>
    <w:rsid w:val="00522573"/>
    <w:rsid w:val="00524B55"/>
    <w:rsid w:val="00533310"/>
    <w:rsid w:val="00551987"/>
    <w:rsid w:val="005568E2"/>
    <w:rsid w:val="00560BB0"/>
    <w:rsid w:val="00575480"/>
    <w:rsid w:val="00577CCC"/>
    <w:rsid w:val="00580101"/>
    <w:rsid w:val="005973B5"/>
    <w:rsid w:val="005C3A2D"/>
    <w:rsid w:val="005C3DF8"/>
    <w:rsid w:val="005C72BE"/>
    <w:rsid w:val="005F0A68"/>
    <w:rsid w:val="00601263"/>
    <w:rsid w:val="00607D22"/>
    <w:rsid w:val="0061053B"/>
    <w:rsid w:val="006154AA"/>
    <w:rsid w:val="006320A8"/>
    <w:rsid w:val="0064285E"/>
    <w:rsid w:val="006530AF"/>
    <w:rsid w:val="00685357"/>
    <w:rsid w:val="00685A84"/>
    <w:rsid w:val="00687C41"/>
    <w:rsid w:val="006A1D50"/>
    <w:rsid w:val="006B7A4C"/>
    <w:rsid w:val="006C5423"/>
    <w:rsid w:val="006D0EBA"/>
    <w:rsid w:val="006E6CC0"/>
    <w:rsid w:val="00720094"/>
    <w:rsid w:val="00726E08"/>
    <w:rsid w:val="007329C6"/>
    <w:rsid w:val="00737F3E"/>
    <w:rsid w:val="007420E0"/>
    <w:rsid w:val="00756340"/>
    <w:rsid w:val="00763095"/>
    <w:rsid w:val="0076468B"/>
    <w:rsid w:val="00772D3D"/>
    <w:rsid w:val="00783984"/>
    <w:rsid w:val="007A1A2E"/>
    <w:rsid w:val="007B2663"/>
    <w:rsid w:val="007E1C8F"/>
    <w:rsid w:val="007E5B66"/>
    <w:rsid w:val="007F3F1C"/>
    <w:rsid w:val="0081437B"/>
    <w:rsid w:val="00856AAC"/>
    <w:rsid w:val="00857350"/>
    <w:rsid w:val="008575DB"/>
    <w:rsid w:val="0089074E"/>
    <w:rsid w:val="008A15CC"/>
    <w:rsid w:val="008A6A7A"/>
    <w:rsid w:val="008B34D9"/>
    <w:rsid w:val="008D63D5"/>
    <w:rsid w:val="00910E33"/>
    <w:rsid w:val="009213B5"/>
    <w:rsid w:val="00924FCE"/>
    <w:rsid w:val="00947352"/>
    <w:rsid w:val="009701B9"/>
    <w:rsid w:val="00981A09"/>
    <w:rsid w:val="009B6D2D"/>
    <w:rsid w:val="009D42AB"/>
    <w:rsid w:val="009D7744"/>
    <w:rsid w:val="00A0725D"/>
    <w:rsid w:val="00A13F56"/>
    <w:rsid w:val="00A316E8"/>
    <w:rsid w:val="00A33F1E"/>
    <w:rsid w:val="00A6176E"/>
    <w:rsid w:val="00A832B5"/>
    <w:rsid w:val="00A931EE"/>
    <w:rsid w:val="00A97965"/>
    <w:rsid w:val="00AC4DD2"/>
    <w:rsid w:val="00AF5697"/>
    <w:rsid w:val="00B02318"/>
    <w:rsid w:val="00B04F8D"/>
    <w:rsid w:val="00B12BA3"/>
    <w:rsid w:val="00B15407"/>
    <w:rsid w:val="00B1798B"/>
    <w:rsid w:val="00B258B4"/>
    <w:rsid w:val="00B50C4E"/>
    <w:rsid w:val="00B707CD"/>
    <w:rsid w:val="00B8312E"/>
    <w:rsid w:val="00B86129"/>
    <w:rsid w:val="00B86E1F"/>
    <w:rsid w:val="00B900D7"/>
    <w:rsid w:val="00BA5CFB"/>
    <w:rsid w:val="00BD0366"/>
    <w:rsid w:val="00BD1859"/>
    <w:rsid w:val="00BF75CF"/>
    <w:rsid w:val="00C00639"/>
    <w:rsid w:val="00C0175F"/>
    <w:rsid w:val="00C03BA0"/>
    <w:rsid w:val="00C07DAB"/>
    <w:rsid w:val="00C20A04"/>
    <w:rsid w:val="00C4035D"/>
    <w:rsid w:val="00C53825"/>
    <w:rsid w:val="00C70DD0"/>
    <w:rsid w:val="00C94AB3"/>
    <w:rsid w:val="00C94B4E"/>
    <w:rsid w:val="00CA0066"/>
    <w:rsid w:val="00CA611D"/>
    <w:rsid w:val="00CB1627"/>
    <w:rsid w:val="00CB26E7"/>
    <w:rsid w:val="00CB5356"/>
    <w:rsid w:val="00CB54DC"/>
    <w:rsid w:val="00CD0036"/>
    <w:rsid w:val="00CE1D4E"/>
    <w:rsid w:val="00CF666D"/>
    <w:rsid w:val="00D151AE"/>
    <w:rsid w:val="00D52945"/>
    <w:rsid w:val="00D57F17"/>
    <w:rsid w:val="00D71EE3"/>
    <w:rsid w:val="00D77F74"/>
    <w:rsid w:val="00D80086"/>
    <w:rsid w:val="00D84B54"/>
    <w:rsid w:val="00D951A4"/>
    <w:rsid w:val="00DB4142"/>
    <w:rsid w:val="00DB57D6"/>
    <w:rsid w:val="00DB75D6"/>
    <w:rsid w:val="00DE1B48"/>
    <w:rsid w:val="00DE3409"/>
    <w:rsid w:val="00E008B8"/>
    <w:rsid w:val="00E03D45"/>
    <w:rsid w:val="00E053A0"/>
    <w:rsid w:val="00E10654"/>
    <w:rsid w:val="00E14628"/>
    <w:rsid w:val="00E234A3"/>
    <w:rsid w:val="00E23DAC"/>
    <w:rsid w:val="00E34E47"/>
    <w:rsid w:val="00E368D1"/>
    <w:rsid w:val="00E44E5D"/>
    <w:rsid w:val="00E527AD"/>
    <w:rsid w:val="00E70F9A"/>
    <w:rsid w:val="00E8641C"/>
    <w:rsid w:val="00EA6463"/>
    <w:rsid w:val="00EB1D2A"/>
    <w:rsid w:val="00EB2DE2"/>
    <w:rsid w:val="00EB4C49"/>
    <w:rsid w:val="00EE04DD"/>
    <w:rsid w:val="00F24E50"/>
    <w:rsid w:val="00F603CF"/>
    <w:rsid w:val="00F65F0B"/>
    <w:rsid w:val="00F668D0"/>
    <w:rsid w:val="00F7767D"/>
    <w:rsid w:val="00F81793"/>
    <w:rsid w:val="00F85F3D"/>
    <w:rsid w:val="00FA03F5"/>
    <w:rsid w:val="00FC33CB"/>
    <w:rsid w:val="00FC5E77"/>
    <w:rsid w:val="00FF18BF"/>
    <w:rsid w:val="4D5B0EAA"/>
    <w:rsid w:val="4F36D2E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7767D"/>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F23C4"/>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F23C4"/>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869451">
      <w:bodyDiv w:val="1"/>
      <w:marLeft w:val="0"/>
      <w:marRight w:val="0"/>
      <w:marTop w:val="0"/>
      <w:marBottom w:val="0"/>
      <w:divBdr>
        <w:top w:val="none" w:sz="0" w:space="0" w:color="auto"/>
        <w:left w:val="none" w:sz="0" w:space="0" w:color="auto"/>
        <w:bottom w:val="none" w:sz="0" w:space="0" w:color="auto"/>
        <w:right w:val="none" w:sz="0" w:space="0" w:color="auto"/>
      </w:divBdr>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73894711">
      <w:bodyDiv w:val="1"/>
      <w:marLeft w:val="0"/>
      <w:marRight w:val="0"/>
      <w:marTop w:val="0"/>
      <w:marBottom w:val="0"/>
      <w:divBdr>
        <w:top w:val="none" w:sz="0" w:space="0" w:color="auto"/>
        <w:left w:val="none" w:sz="0" w:space="0" w:color="auto"/>
        <w:bottom w:val="none" w:sz="0" w:space="0" w:color="auto"/>
        <w:right w:val="none" w:sz="0" w:space="0" w:color="auto"/>
      </w:divBdr>
    </w:div>
    <w:div w:id="1347442738">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00779154">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iea.org/reports/the-oil-and-gas-industry-in-energy-transitions" TargetMode="External"/><Relationship Id="rId18" Type="http://schemas.openxmlformats.org/officeDocument/2006/relationships/hyperlink" Target="https://www.weg.net/catalog/weg/BR/en/Electric-Motors/Three-Phase-Low-Voltage/General-Purpose/W22/c/BR_MT_3PHASE_LV_W22?utm_source=Stone+Junction&amp;utm_medium=Features_contribution&amp;utm_campaign=WEG1243&amp;utm_id=WEG1243&amp;utm_term=W22Xdb&amp;utm_content=Earned" TargetMode="External"/><Relationship Id="rId26" Type="http://schemas.openxmlformats.org/officeDocument/2006/relationships/hyperlink" Target="mailto:laura@stonejunction.co.uk" TargetMode="External"/><Relationship Id="rId3" Type="http://schemas.openxmlformats.org/officeDocument/2006/relationships/customXml" Target="../customXml/item3.xml"/><Relationship Id="rId21" Type="http://schemas.openxmlformats.org/officeDocument/2006/relationships/hyperlink" Target="https://www.weg.net/catalog/weg/AE/en/Generation%2CTransmission-and-Distribution/Oil-type-Reactors-and-Transformers/Underground-and-Submersible-Oil-Type-Transformers/Underground-and-Submersible-Oil-Type-Transformers/p/MKT_WTD_UNDERGROUND_SUBMERSIBLE_TRANSFORMERS?utm_source=Stone+Junction&amp;utm_medium=Features_contribution&amp;utm_campaign=WEG1243&amp;utm_id=WEG1243&amp;utm_term=W22Xdb&amp;utm_content=earned" TargetMode="External"/><Relationship Id="rId34"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2.deloitte.com/us/en/insights/industry/oil-and-gas/oil-and-gas-industry-outlook.html" TargetMode="External"/><Relationship Id="rId17" Type="http://schemas.openxmlformats.org/officeDocument/2006/relationships/hyperlink" Target="https://www.weg.net/catalog/weg/SB/en/Electric-Motors/IEC-Hazardous-Area-Motors/Flameproof-Ex-db/Low-Voltage-Flameproof-Motors/W22Xdb---Flameproof-Ex-db/W22Xdb---Flameproof-Ex-db/p/MKT_WMO_TEXT_IMAGE_CASTIRON_TEFC_W22XD?utm_source=Stone+Junction&amp;utm_medium=Features_contribution&amp;utm_campaign=WEG1243&amp;utm_id=WEG1243&amp;utm_term=W22Xdb&amp;utm_content=Earned" TargetMode="External"/><Relationship Id="rId25" Type="http://schemas.openxmlformats.org/officeDocument/2006/relationships/hyperlink" Target="mailto:info-uk@weg.net" TargetMode="External"/><Relationship Id="rId33"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s://www.weg.net/catalog/weg/US/en/Drives/Variable-Speed-Drives/c/GLOBAL_WDC_DRV_IF?utm_source=Stone+Junction&amp;utm_medium=Features_contribution&amp;utm_campaign=WEG1243&amp;utm_id=WEG1243&amp;utm_term=W22Xdb&amp;utm_content=Earned" TargetMode="External"/><Relationship Id="rId20" Type="http://schemas.openxmlformats.org/officeDocument/2006/relationships/hyperlink" Target="https://www.weg.net/catalog/weg/AE/en/Drives/Variable-Speed-Drives/Medium-Voltage-Variable-Speed-Drives/Medium-Voltage-Variable-Speed-Drive-MVW01/MVW01---Medium-Voltage-Drive/p/MKT_WDC_GLOBAL_MEDIUM_VOLTAGE_VARIABLE_SPEED_DRIVE_MVW01?utm_source=Stone+Junction&amp;utm_medium=Features_contribution&amp;utm_campaign=WEG1243&amp;utm_id=WEG1243&amp;utm_term=W22Xdb&amp;utm_content=earned" TargetMode="External"/><Relationship Id="rId29"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Features_contribution&amp;utm_campaign=WEG1243&amp;utm_id=WEG1243&amp;utm_term=W22Xdb&amp;utm_content=Earned" TargetMode="External"/><Relationship Id="rId24" Type="http://schemas.openxmlformats.org/officeDocument/2006/relationships/hyperlink" Target="http://www.weg.net" TargetMode="External"/><Relationship Id="rId32"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iea.org/reports/net-zero-by-2050" TargetMode="External"/><Relationship Id="rId23" Type="http://schemas.openxmlformats.org/officeDocument/2006/relationships/hyperlink" Target="https://www.weg.net/institutional/MR/en/all-news/all" TargetMode="External"/><Relationship Id="rId28" Type="http://schemas.openxmlformats.org/officeDocument/2006/relationships/hyperlink" Target="http://www.stonejunction.co.uk/" TargetMode="External"/><Relationship Id="rId36"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s://www.weg.net/catalog/weg/AE/en/Electric-Motors/Medium-High-Voltage-Induction-Motors/Squirrel-Cage-Induction-Motors/NEMA-Motors/Master-Line/Three-phase-Induction-Motors---Master-Line/p/MKT_WEN_MLINE?utm_source=Stone+Junction&amp;utm_medium=Features_contribution&amp;utm_campaign=WEG1243&amp;utm_id=WEG1243&amp;utm_term=W22Xdb&amp;utm_content=earned" TargetMode="External"/><Relationship Id="rId31"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un.org/sustainabledevelopment/energy/" TargetMode="External"/><Relationship Id="rId22" Type="http://schemas.openxmlformats.org/officeDocument/2006/relationships/hyperlink" Target="https://www.weg.net/institutional/US/en/?utm_source=Stone+Junction&amp;utm_medium=Features_contribution&amp;utm_campaign=WEG1243&amp;utm_id=WEG1243&amp;utm_term=W22Xdb&amp;utm_content=Earned" TargetMode="External"/><Relationship Id="rId27" Type="http://schemas.openxmlformats.org/officeDocument/2006/relationships/hyperlink" Target="mailto:stephanie@stonejunction.co.uk" TargetMode="External"/><Relationship Id="rId30" Type="http://schemas.openxmlformats.org/officeDocument/2006/relationships/hyperlink" Target="http://www.twitter.com/StoneJunctionPR" TargetMode="External"/><Relationship Id="rId35" Type="http://schemas.openxmlformats.org/officeDocument/2006/relationships/fontTable" Target="fontTable.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2123</Words>
  <Characters>12107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2</cp:revision>
  <cp:lastPrinted>2013-11-27T21:43:00Z</cp:lastPrinted>
  <dcterms:created xsi:type="dcterms:W3CDTF">2025-01-13T15:11:00Z</dcterms:created>
  <dcterms:modified xsi:type="dcterms:W3CDTF">2025-01-13T15:11:00Z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