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lang w:val="fr-FR" w:eastAsia="fr-FR"/>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0649FC05" w14:textId="0BF80AF7" w:rsidR="00022E0A" w:rsidRDefault="00022E0A" w:rsidP="00B26E38">
      <w:pPr>
        <w:spacing w:line="480" w:lineRule="auto"/>
        <w:jc w:val="center"/>
        <w:rPr>
          <w:rFonts w:cs="Arial"/>
          <w:b/>
          <w:bCs/>
          <w:sz w:val="32"/>
          <w:szCs w:val="32"/>
        </w:rPr>
      </w:pPr>
      <w:r w:rsidRPr="00022E0A">
        <w:rPr>
          <w:rFonts w:cs="Arial"/>
          <w:b/>
          <w:bCs/>
          <w:sz w:val="32"/>
          <w:szCs w:val="32"/>
        </w:rPr>
        <w:t xml:space="preserve">WEG brings energy-efficient motor and drive solutions to CFIA </w:t>
      </w:r>
      <w:r w:rsidR="00D122C3">
        <w:rPr>
          <w:rFonts w:cs="Arial"/>
          <w:b/>
          <w:bCs/>
          <w:sz w:val="32"/>
          <w:szCs w:val="32"/>
        </w:rPr>
        <w:t>(</w:t>
      </w:r>
      <w:r w:rsidRPr="00022E0A">
        <w:rPr>
          <w:rFonts w:cs="Arial"/>
          <w:b/>
          <w:bCs/>
          <w:sz w:val="32"/>
          <w:szCs w:val="32"/>
        </w:rPr>
        <w:t>Renne</w:t>
      </w:r>
      <w:r>
        <w:rPr>
          <w:rFonts w:cs="Arial"/>
          <w:b/>
          <w:bCs/>
          <w:sz w:val="32"/>
          <w:szCs w:val="32"/>
        </w:rPr>
        <w:t>s</w:t>
      </w:r>
      <w:r w:rsidR="00D122C3">
        <w:rPr>
          <w:rFonts w:cs="Arial"/>
          <w:b/>
          <w:bCs/>
          <w:sz w:val="32"/>
          <w:szCs w:val="32"/>
        </w:rPr>
        <w:t>)</w:t>
      </w:r>
    </w:p>
    <w:p w14:paraId="3301F3C9" w14:textId="6F48424A" w:rsidR="00B26E38" w:rsidRPr="00B26E38" w:rsidRDefault="00B26E38" w:rsidP="00B26E38">
      <w:pPr>
        <w:spacing w:line="480" w:lineRule="auto"/>
        <w:jc w:val="center"/>
        <w:rPr>
          <w:rFonts w:cs="Arial"/>
          <w:b/>
        </w:rPr>
      </w:pPr>
      <w:r w:rsidRPr="000F78F9">
        <w:rPr>
          <w:rFonts w:cs="Arial"/>
          <w:b/>
        </w:rPr>
        <w:t xml:space="preserve">~ </w:t>
      </w:r>
      <w:r w:rsidR="00DA169D" w:rsidRPr="00DA169D">
        <w:rPr>
          <w:rFonts w:cs="Arial"/>
          <w:b/>
        </w:rPr>
        <w:t xml:space="preserve">Supporting reliable and sustainable food and beverage </w:t>
      </w:r>
      <w:r w:rsidR="006C2FFB" w:rsidRPr="00DA169D">
        <w:rPr>
          <w:rFonts w:cs="Arial"/>
          <w:b/>
        </w:rPr>
        <w:t>operations</w:t>
      </w:r>
      <w:r w:rsidR="00F16C57" w:rsidRPr="00F16C57">
        <w:rPr>
          <w:rFonts w:cs="Arial"/>
          <w:b/>
        </w:rPr>
        <w:t xml:space="preserve"> </w:t>
      </w:r>
      <w:r w:rsidRPr="000F78F9">
        <w:rPr>
          <w:rFonts w:cs="Arial"/>
          <w:b/>
        </w:rPr>
        <w:t>~</w:t>
      </w:r>
    </w:p>
    <w:p w14:paraId="72510D4A" w14:textId="77777777" w:rsidR="00324B54" w:rsidRDefault="00324B54" w:rsidP="00324B54">
      <w:pPr>
        <w:spacing w:line="480" w:lineRule="auto"/>
        <w:jc w:val="both"/>
        <w:rPr>
          <w:rFonts w:cs="Arial"/>
        </w:rPr>
      </w:pPr>
    </w:p>
    <w:p w14:paraId="0BC0A595" w14:textId="45C94E0B" w:rsidR="0057150E" w:rsidRDefault="00B24E2F" w:rsidP="00324B54">
      <w:pPr>
        <w:spacing w:line="480" w:lineRule="auto"/>
        <w:jc w:val="both"/>
        <w:rPr>
          <w:rFonts w:cs="Arial"/>
          <w:b/>
          <w:bCs/>
        </w:rPr>
      </w:pPr>
      <w:r w:rsidRPr="00B24E2F">
        <w:rPr>
          <w:rFonts w:cs="Arial"/>
          <w:b/>
          <w:bCs/>
        </w:rPr>
        <w:t xml:space="preserve">WEG, a leading global manufacturer of </w:t>
      </w:r>
      <w:hyperlink r:id="rId12" w:history="1">
        <w:r w:rsidRPr="00AC4A80">
          <w:rPr>
            <w:rStyle w:val="Hyperlink"/>
            <w:rFonts w:cs="Arial"/>
            <w:b/>
            <w:bCs/>
          </w:rPr>
          <w:t>industrial equipment</w:t>
        </w:r>
      </w:hyperlink>
      <w:r w:rsidRPr="00B24E2F">
        <w:rPr>
          <w:rFonts w:cs="Arial"/>
          <w:b/>
          <w:bCs/>
        </w:rPr>
        <w:t>,</w:t>
      </w:r>
      <w:r w:rsidR="003D5132">
        <w:rPr>
          <w:rFonts w:cs="Arial"/>
          <w:b/>
          <w:bCs/>
        </w:rPr>
        <w:t xml:space="preserve"> </w:t>
      </w:r>
      <w:r w:rsidR="00A2312C">
        <w:rPr>
          <w:rFonts w:cs="Arial"/>
          <w:b/>
          <w:bCs/>
        </w:rPr>
        <w:t>will</w:t>
      </w:r>
      <w:r w:rsidR="0055153E" w:rsidRPr="0055153E">
        <w:rPr>
          <w:rFonts w:cs="Arial"/>
          <w:b/>
          <w:bCs/>
        </w:rPr>
        <w:t xml:space="preserve"> exhibi</w:t>
      </w:r>
      <w:r w:rsidR="00A2312C">
        <w:rPr>
          <w:rFonts w:cs="Arial"/>
          <w:b/>
          <w:bCs/>
        </w:rPr>
        <w:t>t</w:t>
      </w:r>
      <w:r w:rsidR="0055153E" w:rsidRPr="0055153E">
        <w:rPr>
          <w:rFonts w:cs="Arial"/>
          <w:b/>
          <w:bCs/>
        </w:rPr>
        <w:t xml:space="preserve"> at CFIA</w:t>
      </w:r>
      <w:r w:rsidR="001928C8">
        <w:rPr>
          <w:rFonts w:cs="Arial"/>
          <w:b/>
          <w:bCs/>
        </w:rPr>
        <w:t xml:space="preserve">, </w:t>
      </w:r>
      <w:r w:rsidR="0055153E" w:rsidRPr="0055153E">
        <w:rPr>
          <w:rFonts w:cs="Arial"/>
          <w:b/>
          <w:bCs/>
        </w:rPr>
        <w:t>taking place from 10 to 12 March</w:t>
      </w:r>
      <w:r w:rsidR="00EC373D">
        <w:rPr>
          <w:rFonts w:cs="Arial"/>
          <w:b/>
          <w:bCs/>
        </w:rPr>
        <w:t>, 2026,</w:t>
      </w:r>
      <w:r w:rsidR="00136CF4">
        <w:rPr>
          <w:rFonts w:cs="Arial"/>
          <w:b/>
          <w:bCs/>
        </w:rPr>
        <w:t xml:space="preserve"> </w:t>
      </w:r>
      <w:r w:rsidR="0055153E" w:rsidRPr="0055153E">
        <w:rPr>
          <w:rFonts w:cs="Arial"/>
          <w:b/>
          <w:bCs/>
        </w:rPr>
        <w:t>at Rennes Parc Expo, France</w:t>
      </w:r>
      <w:r w:rsidR="0055153E" w:rsidRPr="00C17DFE">
        <w:rPr>
          <w:rFonts w:cs="Arial"/>
          <w:b/>
          <w:bCs/>
        </w:rPr>
        <w:t>. At</w:t>
      </w:r>
      <w:r w:rsidR="00C17DFE" w:rsidRPr="00C17DFE">
        <w:rPr>
          <w:rFonts w:cs="Arial"/>
          <w:b/>
          <w:bCs/>
        </w:rPr>
        <w:t xml:space="preserve"> </w:t>
      </w:r>
      <w:r w:rsidR="00C17DFE">
        <w:rPr>
          <w:rFonts w:cs="Arial"/>
          <w:b/>
          <w:bCs/>
        </w:rPr>
        <w:t>b</w:t>
      </w:r>
      <w:r w:rsidR="00C17DFE" w:rsidRPr="00C17DFE">
        <w:rPr>
          <w:rFonts w:cs="Arial"/>
          <w:b/>
          <w:bCs/>
        </w:rPr>
        <w:t>ooth 3-A</w:t>
      </w:r>
      <w:r w:rsidR="005C493E">
        <w:rPr>
          <w:rFonts w:cs="Arial"/>
          <w:b/>
          <w:bCs/>
        </w:rPr>
        <w:t>12</w:t>
      </w:r>
      <w:r w:rsidR="00C17DFE">
        <w:rPr>
          <w:rFonts w:cs="Arial"/>
          <w:b/>
          <w:bCs/>
        </w:rPr>
        <w:t xml:space="preserve">, in </w:t>
      </w:r>
      <w:r w:rsidR="00136CF4">
        <w:rPr>
          <w:rFonts w:cs="Arial"/>
          <w:b/>
          <w:bCs/>
        </w:rPr>
        <w:t>h</w:t>
      </w:r>
      <w:r w:rsidR="00C17DFE" w:rsidRPr="00C17DFE">
        <w:rPr>
          <w:rFonts w:cs="Arial"/>
          <w:b/>
          <w:bCs/>
        </w:rPr>
        <w:t>all 2.3</w:t>
      </w:r>
      <w:r w:rsidR="0055153E" w:rsidRPr="00C17DFE">
        <w:rPr>
          <w:rFonts w:cs="Arial"/>
          <w:b/>
          <w:bCs/>
        </w:rPr>
        <w:t xml:space="preserve">, </w:t>
      </w:r>
      <w:r w:rsidR="004E27EF">
        <w:rPr>
          <w:rFonts w:cs="Arial"/>
          <w:b/>
          <w:bCs/>
        </w:rPr>
        <w:t xml:space="preserve">WEG </w:t>
      </w:r>
      <w:r w:rsidR="0055153E" w:rsidRPr="0055153E">
        <w:rPr>
          <w:rFonts w:cs="Arial"/>
          <w:b/>
          <w:bCs/>
        </w:rPr>
        <w:t xml:space="preserve">will present </w:t>
      </w:r>
      <w:r w:rsidR="00705749">
        <w:rPr>
          <w:rFonts w:cs="Arial"/>
          <w:b/>
          <w:bCs/>
        </w:rPr>
        <w:t xml:space="preserve">its </w:t>
      </w:r>
      <w:r w:rsidR="006454C8">
        <w:rPr>
          <w:rFonts w:cs="Arial"/>
          <w:b/>
          <w:bCs/>
        </w:rPr>
        <w:t>drives, motors and digital solutions</w:t>
      </w:r>
      <w:r w:rsidR="0055153E" w:rsidRPr="0055153E">
        <w:rPr>
          <w:rFonts w:cs="Arial"/>
          <w:b/>
          <w:bCs/>
        </w:rPr>
        <w:t xml:space="preserve"> designed to optimise performance, improve efficiency and ensure reliability in the food and beverage industry</w:t>
      </w:r>
      <w:r w:rsidR="0055153E">
        <w:rPr>
          <w:rFonts w:cs="Arial"/>
          <w:b/>
          <w:bCs/>
        </w:rPr>
        <w:t>.</w:t>
      </w:r>
    </w:p>
    <w:p w14:paraId="05DEA7C8" w14:textId="77777777" w:rsidR="0086214D" w:rsidRDefault="0086214D" w:rsidP="0086214D">
      <w:pPr>
        <w:spacing w:line="480" w:lineRule="auto"/>
        <w:jc w:val="both"/>
        <w:rPr>
          <w:rFonts w:cs="Arial"/>
        </w:rPr>
      </w:pPr>
    </w:p>
    <w:p w14:paraId="21B00C0C" w14:textId="420FC670" w:rsidR="0086214D" w:rsidRDefault="006D4DAA" w:rsidP="0086214D">
      <w:pPr>
        <w:spacing w:line="480" w:lineRule="auto"/>
        <w:jc w:val="both"/>
        <w:rPr>
          <w:rFonts w:cs="Arial"/>
          <w:lang w:val="en-US"/>
        </w:rPr>
      </w:pPr>
      <w:r>
        <w:rPr>
          <w:rFonts w:cs="Arial"/>
          <w:lang w:val="en-US"/>
        </w:rPr>
        <w:t xml:space="preserve">Among the </w:t>
      </w:r>
      <w:r w:rsidR="005E779B">
        <w:rPr>
          <w:rFonts w:cs="Arial"/>
          <w:lang w:val="en-US"/>
        </w:rPr>
        <w:t>products on</w:t>
      </w:r>
      <w:r w:rsidR="002F692E">
        <w:rPr>
          <w:rFonts w:cs="Arial"/>
          <w:lang w:val="en-US"/>
        </w:rPr>
        <w:t xml:space="preserve"> show</w:t>
      </w:r>
      <w:r w:rsidR="00116652">
        <w:rPr>
          <w:rFonts w:cs="Arial"/>
          <w:lang w:val="en-US"/>
        </w:rPr>
        <w:t xml:space="preserve"> is</w:t>
      </w:r>
      <w:r w:rsidR="00346C4C">
        <w:rPr>
          <w:rFonts w:cs="Arial"/>
          <w:lang w:val="en-US"/>
        </w:rPr>
        <w:t xml:space="preserve"> the</w:t>
      </w:r>
      <w:r w:rsidR="0086214D" w:rsidRPr="0086214D">
        <w:rPr>
          <w:rFonts w:cs="Arial"/>
          <w:lang w:val="en-US"/>
        </w:rPr>
        <w:t xml:space="preserve"> </w:t>
      </w:r>
      <w:hyperlink r:id="rId13" w:history="1">
        <w:r w:rsidR="0086214D" w:rsidRPr="00D73B1C">
          <w:rPr>
            <w:rStyle w:val="Hyperlink"/>
            <w:rFonts w:cs="Arial"/>
            <w:lang w:val="en-US"/>
          </w:rPr>
          <w:t>WG20 gearbox</w:t>
        </w:r>
      </w:hyperlink>
      <w:r w:rsidR="00014303">
        <w:t xml:space="preserve"> </w:t>
      </w:r>
      <w:r w:rsidR="004749DC">
        <w:t>range</w:t>
      </w:r>
      <w:r w:rsidR="0086214D" w:rsidRPr="0086214D">
        <w:rPr>
          <w:rFonts w:cs="Arial"/>
          <w:lang w:val="en-US"/>
        </w:rPr>
        <w:t>,</w:t>
      </w:r>
      <w:r w:rsidR="00014303">
        <w:rPr>
          <w:rFonts w:cs="Arial"/>
          <w:lang w:val="en-US"/>
        </w:rPr>
        <w:t xml:space="preserve"> </w:t>
      </w:r>
      <w:r w:rsidR="0086214D" w:rsidRPr="0086214D">
        <w:rPr>
          <w:rFonts w:cs="Arial"/>
          <w:lang w:val="en-US"/>
        </w:rPr>
        <w:t xml:space="preserve">engineered for efficiency and durability. </w:t>
      </w:r>
      <w:r w:rsidR="00116652">
        <w:rPr>
          <w:rFonts w:cs="Arial"/>
          <w:lang w:val="en-US"/>
        </w:rPr>
        <w:t>With</w:t>
      </w:r>
      <w:r w:rsidR="00014303">
        <w:rPr>
          <w:rFonts w:cs="Arial"/>
          <w:lang w:val="en-US"/>
        </w:rPr>
        <w:t xml:space="preserve"> a </w:t>
      </w:r>
      <w:r w:rsidR="0086214D" w:rsidRPr="0086214D">
        <w:rPr>
          <w:rFonts w:cs="Arial"/>
          <w:lang w:val="en-US"/>
        </w:rPr>
        <w:t>compact and modular design</w:t>
      </w:r>
      <w:r w:rsidR="001A3D24">
        <w:rPr>
          <w:rFonts w:cs="Arial"/>
          <w:lang w:val="en-US"/>
        </w:rPr>
        <w:t xml:space="preserve">, </w:t>
      </w:r>
      <w:r w:rsidR="0086214D" w:rsidRPr="0086214D">
        <w:rPr>
          <w:rFonts w:cs="Arial"/>
          <w:lang w:val="en-US"/>
        </w:rPr>
        <w:t xml:space="preserve">including helical, parallel shaft and helical bevel configurations, </w:t>
      </w:r>
      <w:r w:rsidR="001A3D24">
        <w:rPr>
          <w:rFonts w:cs="Arial"/>
          <w:lang w:val="en-US"/>
        </w:rPr>
        <w:t>the WG20 is</w:t>
      </w:r>
      <w:r w:rsidR="00014303">
        <w:rPr>
          <w:rFonts w:cs="Arial"/>
          <w:lang w:val="en-US"/>
        </w:rPr>
        <w:t xml:space="preserve"> </w:t>
      </w:r>
      <w:r w:rsidR="001A3D24">
        <w:rPr>
          <w:rFonts w:cs="Arial"/>
          <w:lang w:val="en-US"/>
        </w:rPr>
        <w:t>widely</w:t>
      </w:r>
      <w:r w:rsidR="001A3D24" w:rsidRPr="00A57CAF">
        <w:rPr>
          <w:rFonts w:cs="Arial"/>
          <w:lang w:val="en-US"/>
        </w:rPr>
        <w:t xml:space="preserve"> </w:t>
      </w:r>
      <w:r w:rsidR="00A57CAF" w:rsidRPr="00A57CAF">
        <w:rPr>
          <w:rFonts w:cs="Arial"/>
          <w:lang w:val="en-US"/>
        </w:rPr>
        <w:t>used in packaging machines, bakery equipment and conveyor belt drives i</w:t>
      </w:r>
      <w:r w:rsidR="0049457A">
        <w:rPr>
          <w:rFonts w:cs="Arial"/>
          <w:lang w:val="en-US"/>
        </w:rPr>
        <w:t>n</w:t>
      </w:r>
      <w:r w:rsidR="00A57CAF" w:rsidRPr="00A57CAF">
        <w:rPr>
          <w:rFonts w:cs="Arial"/>
          <w:lang w:val="en-US"/>
        </w:rPr>
        <w:t xml:space="preserve"> food processing lines.</w:t>
      </w:r>
    </w:p>
    <w:p w14:paraId="7834FD55" w14:textId="77777777" w:rsidR="0086214D" w:rsidRDefault="0086214D" w:rsidP="0086214D">
      <w:pPr>
        <w:spacing w:line="480" w:lineRule="auto"/>
        <w:jc w:val="both"/>
        <w:rPr>
          <w:rFonts w:cs="Arial"/>
          <w:lang w:val="en-US"/>
        </w:rPr>
      </w:pPr>
    </w:p>
    <w:p w14:paraId="212FED34" w14:textId="77777777" w:rsidR="006454C8" w:rsidRDefault="0049457A" w:rsidP="006454C8">
      <w:pPr>
        <w:spacing w:line="480" w:lineRule="auto"/>
        <w:jc w:val="both"/>
        <w:rPr>
          <w:rFonts w:cs="Arial"/>
          <w:lang w:val="en-US"/>
        </w:rPr>
      </w:pPr>
      <w:r>
        <w:rPr>
          <w:rFonts w:cs="Arial"/>
          <w:lang w:val="en-US"/>
        </w:rPr>
        <w:t>WEG will also showcase its</w:t>
      </w:r>
      <w:r w:rsidR="0086214D" w:rsidRPr="0086214D">
        <w:rPr>
          <w:rFonts w:cs="Arial"/>
          <w:lang w:val="en-US"/>
        </w:rPr>
        <w:t xml:space="preserve"> </w:t>
      </w:r>
      <w:hyperlink r:id="rId14" w:history="1">
        <w:r w:rsidR="0086214D" w:rsidRPr="00AE0266">
          <w:rPr>
            <w:rStyle w:val="Hyperlink"/>
            <w:rFonts w:cs="Arial"/>
            <w:lang w:val="en-US"/>
          </w:rPr>
          <w:t>W23 Sync+ motors</w:t>
        </w:r>
      </w:hyperlink>
      <w:r w:rsidR="0086214D" w:rsidRPr="0086214D">
        <w:rPr>
          <w:rFonts w:cs="Arial"/>
          <w:lang w:val="en-US"/>
        </w:rPr>
        <w:t xml:space="preserve"> with IE5 and IE6 efficiency levels. When paired with the </w:t>
      </w:r>
      <w:hyperlink r:id="rId15" w:history="1">
        <w:r w:rsidR="0086214D" w:rsidRPr="00096BC6">
          <w:rPr>
            <w:rStyle w:val="Hyperlink"/>
            <w:rFonts w:cs="Arial"/>
            <w:lang w:val="en-US"/>
          </w:rPr>
          <w:t>CFW900</w:t>
        </w:r>
      </w:hyperlink>
      <w:r w:rsidR="0086214D" w:rsidRPr="0086214D">
        <w:rPr>
          <w:rFonts w:cs="Arial"/>
          <w:lang w:val="en-US"/>
        </w:rPr>
        <w:t xml:space="preserve"> and </w:t>
      </w:r>
      <w:hyperlink r:id="rId16" w:history="1">
        <w:r w:rsidR="0086214D" w:rsidRPr="000C49A7">
          <w:rPr>
            <w:rStyle w:val="Hyperlink"/>
            <w:rFonts w:cs="Arial"/>
            <w:lang w:val="en-US"/>
          </w:rPr>
          <w:t>CFW500</w:t>
        </w:r>
      </w:hyperlink>
      <w:r w:rsidR="0086214D" w:rsidRPr="0086214D">
        <w:rPr>
          <w:rFonts w:cs="Arial"/>
          <w:lang w:val="en-US"/>
        </w:rPr>
        <w:t xml:space="preserve"> IP66 variable speed drives, these synchronous motors form an energy-efficient combination designed to </w:t>
      </w:r>
      <w:proofErr w:type="spellStart"/>
      <w:r w:rsidR="0086214D" w:rsidRPr="0086214D">
        <w:rPr>
          <w:rFonts w:cs="Arial"/>
          <w:lang w:val="en-US"/>
        </w:rPr>
        <w:t>optimise</w:t>
      </w:r>
      <w:proofErr w:type="spellEnd"/>
      <w:r w:rsidR="0086214D" w:rsidRPr="0086214D">
        <w:rPr>
          <w:rFonts w:cs="Arial"/>
          <w:lang w:val="en-US"/>
        </w:rPr>
        <w:t xml:space="preserve"> motor performance and </w:t>
      </w:r>
      <w:r w:rsidR="0086214D" w:rsidRPr="0086214D">
        <w:rPr>
          <w:rFonts w:cs="Arial"/>
          <w:lang w:val="en-US"/>
        </w:rPr>
        <w:lastRenderedPageBreak/>
        <w:t xml:space="preserve">extend equipment </w:t>
      </w:r>
      <w:r w:rsidR="00917C8F">
        <w:rPr>
          <w:rFonts w:cs="Arial"/>
          <w:lang w:val="en-US"/>
        </w:rPr>
        <w:t>service life</w:t>
      </w:r>
      <w:r w:rsidR="0086214D" w:rsidRPr="0086214D">
        <w:rPr>
          <w:rFonts w:cs="Arial"/>
          <w:lang w:val="en-US"/>
        </w:rPr>
        <w:t xml:space="preserve">. </w:t>
      </w:r>
      <w:r w:rsidR="006454C8" w:rsidRPr="00982BCD">
        <w:rPr>
          <w:rFonts w:cs="Arial"/>
          <w:lang w:val="en-US"/>
        </w:rPr>
        <w:t>Both the motors and the variable speed drives can be supplied directly from WEG’s stock in France</w:t>
      </w:r>
      <w:r w:rsidR="006454C8">
        <w:rPr>
          <w:rFonts w:cs="Arial"/>
          <w:lang w:val="en-US"/>
        </w:rPr>
        <w:t xml:space="preserve">, which enables WEG </w:t>
      </w:r>
      <w:r w:rsidR="006454C8" w:rsidRPr="00982BCD">
        <w:rPr>
          <w:rFonts w:cs="Arial"/>
          <w:lang w:val="en-US"/>
        </w:rPr>
        <w:t xml:space="preserve">to cover power ratings from 7.5 to 55 kilowatts (kW), with the IE5 motor range scheduled to be extended up to 132 kW over </w:t>
      </w:r>
      <w:r w:rsidR="006454C8">
        <w:rPr>
          <w:rFonts w:cs="Arial"/>
          <w:lang w:val="en-US"/>
        </w:rPr>
        <w:t>2026.</w:t>
      </w:r>
    </w:p>
    <w:p w14:paraId="1951C45D" w14:textId="46AB9BA3" w:rsidR="00763297" w:rsidRDefault="00763297" w:rsidP="00307823">
      <w:pPr>
        <w:spacing w:line="480" w:lineRule="auto"/>
        <w:jc w:val="both"/>
        <w:rPr>
          <w:rFonts w:cs="Arial"/>
          <w:lang w:val="en-US"/>
        </w:rPr>
      </w:pPr>
    </w:p>
    <w:p w14:paraId="63FF60E3" w14:textId="5B7CA868" w:rsidR="005249B6" w:rsidRDefault="00096BC6" w:rsidP="00307823">
      <w:pPr>
        <w:spacing w:line="480" w:lineRule="auto"/>
        <w:jc w:val="both"/>
        <w:rPr>
          <w:rFonts w:cs="Arial"/>
          <w:lang w:val="en-US"/>
        </w:rPr>
      </w:pPr>
      <w:r>
        <w:rPr>
          <w:rFonts w:cs="Arial"/>
          <w:lang w:val="en-US"/>
        </w:rPr>
        <w:t>“</w:t>
      </w:r>
      <w:r w:rsidR="00A97F93" w:rsidRPr="00A97F93">
        <w:rPr>
          <w:rFonts w:cs="Arial"/>
          <w:lang w:val="en-US"/>
        </w:rPr>
        <w:t>Variable speed drives and high</w:t>
      </w:r>
      <w:r w:rsidR="00A97F93" w:rsidRPr="00A97F93">
        <w:rPr>
          <w:rFonts w:ascii="Cambria Math" w:hAnsi="Cambria Math" w:cs="Cambria Math"/>
          <w:lang w:val="en-US"/>
        </w:rPr>
        <w:t>‑</w:t>
      </w:r>
      <w:r w:rsidR="00A97F93" w:rsidRPr="00A97F93">
        <w:rPr>
          <w:rFonts w:cs="Arial"/>
          <w:lang w:val="en-US"/>
        </w:rPr>
        <w:t xml:space="preserve">efficiency motors </w:t>
      </w:r>
      <w:r w:rsidR="00917C8F">
        <w:rPr>
          <w:rFonts w:cs="Arial"/>
          <w:lang w:val="en-US"/>
        </w:rPr>
        <w:t>play a key role</w:t>
      </w:r>
      <w:r w:rsidR="00A97F93" w:rsidRPr="00A97F93">
        <w:rPr>
          <w:rFonts w:cs="Arial"/>
          <w:lang w:val="en-US"/>
        </w:rPr>
        <w:t xml:space="preserve"> in food and beverage production</w:t>
      </w:r>
      <w:r>
        <w:rPr>
          <w:rFonts w:cs="Arial"/>
          <w:lang w:val="en-US"/>
        </w:rPr>
        <w:t>”</w:t>
      </w:r>
      <w:r w:rsidR="00917C8F">
        <w:rPr>
          <w:rFonts w:cs="Arial"/>
          <w:lang w:val="en-US"/>
        </w:rPr>
        <w:t>,</w:t>
      </w:r>
      <w:r>
        <w:rPr>
          <w:rFonts w:cs="Arial"/>
          <w:lang w:val="en-US"/>
        </w:rPr>
        <w:t xml:space="preserve"> said Loic </w:t>
      </w:r>
      <w:r w:rsidRPr="00F414AF">
        <w:rPr>
          <w:rFonts w:cs="Arial"/>
          <w:lang w:val="en-US"/>
        </w:rPr>
        <w:t>Kentro</w:t>
      </w:r>
      <w:r w:rsidR="009216C7" w:rsidRPr="00F414AF">
        <w:rPr>
          <w:rFonts w:cs="Arial"/>
          <w:lang w:val="en-US"/>
        </w:rPr>
        <w:t>t</w:t>
      </w:r>
      <w:r w:rsidRPr="00F414AF">
        <w:rPr>
          <w:rFonts w:cs="Arial"/>
          <w:lang w:val="en-US"/>
        </w:rPr>
        <w:t>is, marketing manager at WEG France</w:t>
      </w:r>
      <w:r w:rsidR="00C96C54" w:rsidRPr="00F414AF">
        <w:rPr>
          <w:rFonts w:cs="Arial"/>
          <w:lang w:val="en-US"/>
        </w:rPr>
        <w:t>. “These c</w:t>
      </w:r>
      <w:r w:rsidR="00A97F93" w:rsidRPr="00F414AF">
        <w:rPr>
          <w:rFonts w:cs="Arial"/>
          <w:lang w:val="en-US"/>
        </w:rPr>
        <w:t>ontrol conveyors, mixers, pumps and fans</w:t>
      </w:r>
      <w:r w:rsidR="00917C8F" w:rsidRPr="00F414AF">
        <w:rPr>
          <w:rFonts w:cs="Arial"/>
          <w:lang w:val="en-US"/>
        </w:rPr>
        <w:t xml:space="preserve"> while</w:t>
      </w:r>
      <w:r w:rsidR="00A97F93" w:rsidRPr="00F414AF">
        <w:rPr>
          <w:rFonts w:cs="Arial"/>
          <w:lang w:val="en-US"/>
        </w:rPr>
        <w:t xml:space="preserve"> </w:t>
      </w:r>
      <w:r w:rsidR="00A97F93" w:rsidRPr="00A97F93">
        <w:rPr>
          <w:rFonts w:cs="Arial"/>
          <w:lang w:val="en-US"/>
        </w:rPr>
        <w:t>deliverin</w:t>
      </w:r>
      <w:r w:rsidR="00C96C54">
        <w:rPr>
          <w:rFonts w:cs="Arial"/>
          <w:lang w:val="en-US"/>
        </w:rPr>
        <w:t>g</w:t>
      </w:r>
      <w:r w:rsidR="00A97F93" w:rsidRPr="00A97F93">
        <w:rPr>
          <w:rFonts w:cs="Arial"/>
          <w:lang w:val="en-US"/>
        </w:rPr>
        <w:t xml:space="preserve"> precise speed control and significant energy savings across processing, bottling and packaging operations</w:t>
      </w:r>
      <w:r w:rsidR="00C96C54">
        <w:rPr>
          <w:rFonts w:cs="Arial"/>
          <w:lang w:val="en-US"/>
        </w:rPr>
        <w:t>”</w:t>
      </w:r>
      <w:r w:rsidR="00A74D5B">
        <w:rPr>
          <w:rFonts w:cs="Arial"/>
          <w:lang w:val="en-US"/>
        </w:rPr>
        <w:t>.</w:t>
      </w:r>
    </w:p>
    <w:p w14:paraId="56E48359" w14:textId="77777777" w:rsidR="00A97F93" w:rsidRPr="00AB0AC6" w:rsidRDefault="00A97F93" w:rsidP="00307823">
      <w:pPr>
        <w:spacing w:line="480" w:lineRule="auto"/>
        <w:jc w:val="both"/>
        <w:rPr>
          <w:rFonts w:cs="Arial"/>
          <w:lang w:val="en-US"/>
        </w:rPr>
      </w:pPr>
    </w:p>
    <w:p w14:paraId="0F75A0B5" w14:textId="2D71031E" w:rsidR="005249B6" w:rsidRDefault="00AB31B3" w:rsidP="005249B6">
      <w:pPr>
        <w:spacing w:line="480" w:lineRule="auto"/>
        <w:jc w:val="both"/>
        <w:rPr>
          <w:rFonts w:cs="Arial"/>
        </w:rPr>
      </w:pPr>
      <w:r w:rsidRPr="00AB31B3">
        <w:rPr>
          <w:rFonts w:cs="Arial"/>
        </w:rPr>
        <w:t>For hazardous environments such as Zone 21, an ATEX-classified area where combustible dust may be present during normal operation, WEG will present</w:t>
      </w:r>
      <w:r>
        <w:rPr>
          <w:rFonts w:cs="Arial"/>
        </w:rPr>
        <w:t xml:space="preserve"> </w:t>
      </w:r>
      <w:hyperlink r:id="rId17" w:history="1">
        <w:r w:rsidR="005249B6" w:rsidRPr="00B44245">
          <w:rPr>
            <w:rStyle w:val="Hyperlink"/>
            <w:rFonts w:cs="Arial"/>
          </w:rPr>
          <w:t>CEMP</w:t>
        </w:r>
      </w:hyperlink>
      <w:r w:rsidR="005249B6" w:rsidRPr="005249B6">
        <w:rPr>
          <w:rFonts w:cs="Arial"/>
        </w:rPr>
        <w:t xml:space="preserve"> </w:t>
      </w:r>
      <w:r w:rsidR="00D74F05" w:rsidRPr="00F414AF">
        <w:rPr>
          <w:rFonts w:cs="Arial"/>
        </w:rPr>
        <w:t>Dust Ignition Proof</w:t>
      </w:r>
      <w:r w:rsidR="006454C8" w:rsidRPr="00F414AF">
        <w:rPr>
          <w:rFonts w:cs="Arial"/>
        </w:rPr>
        <w:t xml:space="preserve"> brake motors</w:t>
      </w:r>
      <w:r w:rsidR="00C51570" w:rsidRPr="00F414AF">
        <w:rPr>
          <w:rFonts w:cs="Arial"/>
        </w:rPr>
        <w:t>.</w:t>
      </w:r>
      <w:r w:rsidR="006454C8" w:rsidRPr="00F414AF">
        <w:rPr>
          <w:rFonts w:cs="Arial"/>
        </w:rPr>
        <w:t xml:space="preserve"> </w:t>
      </w:r>
      <w:r w:rsidR="007457CC" w:rsidRPr="00F414AF">
        <w:rPr>
          <w:rFonts w:cs="Arial"/>
        </w:rPr>
        <w:t xml:space="preserve">Designed for </w:t>
      </w:r>
      <w:r w:rsidR="006454C8" w:rsidRPr="00F414AF">
        <w:rPr>
          <w:rFonts w:cs="Arial"/>
        </w:rPr>
        <w:t>high levels of operational safety</w:t>
      </w:r>
      <w:r w:rsidR="007457CC" w:rsidRPr="00F414AF">
        <w:rPr>
          <w:rFonts w:cs="Arial"/>
        </w:rPr>
        <w:t>, they</w:t>
      </w:r>
      <w:r w:rsidR="006454C8" w:rsidRPr="00F414AF">
        <w:rPr>
          <w:rFonts w:cs="Arial"/>
        </w:rPr>
        <w:t xml:space="preserve"> </w:t>
      </w:r>
      <w:r w:rsidR="00181F56" w:rsidRPr="00F414AF">
        <w:rPr>
          <w:rFonts w:cs="Arial"/>
        </w:rPr>
        <w:t xml:space="preserve">feature </w:t>
      </w:r>
      <w:r w:rsidR="00D74F05" w:rsidRPr="00F414AF">
        <w:rPr>
          <w:rFonts w:cs="Arial"/>
        </w:rPr>
        <w:t>certified Dust Ignition Proof (Ex t</w:t>
      </w:r>
      <w:r w:rsidR="006454C8" w:rsidRPr="00F414AF">
        <w:rPr>
          <w:rFonts w:cs="Arial"/>
        </w:rPr>
        <w:t xml:space="preserve">b) </w:t>
      </w:r>
      <w:r w:rsidR="00181F56" w:rsidRPr="00F414AF">
        <w:rPr>
          <w:rFonts w:cs="Arial"/>
        </w:rPr>
        <w:t>protection</w:t>
      </w:r>
      <w:r w:rsidR="006454C8" w:rsidRPr="00F414AF">
        <w:rPr>
          <w:rFonts w:cs="Arial"/>
        </w:rPr>
        <w:t>, robust cast-iron construction and full ATEX and IECEx certification. Delivering IE3 and IE4 efficiency, the motors are suitable for dust-</w:t>
      </w:r>
      <w:r w:rsidR="006454C8" w:rsidRPr="006454C8">
        <w:rPr>
          <w:rFonts w:cs="Arial"/>
        </w:rPr>
        <w:t>handling applications such as silos and feature power ratings from 0.75 to 200 kW and IEC frame sizes from 80 to 315.</w:t>
      </w:r>
    </w:p>
    <w:p w14:paraId="3371C05B" w14:textId="77777777" w:rsidR="006454C8" w:rsidRPr="005249B6" w:rsidRDefault="006454C8" w:rsidP="005249B6">
      <w:pPr>
        <w:spacing w:line="480" w:lineRule="auto"/>
        <w:jc w:val="both"/>
        <w:rPr>
          <w:rFonts w:cs="Arial"/>
        </w:rPr>
      </w:pPr>
    </w:p>
    <w:p w14:paraId="55B96980" w14:textId="77777777" w:rsidR="00336287" w:rsidRDefault="005249B6" w:rsidP="00324B54">
      <w:pPr>
        <w:spacing w:line="480" w:lineRule="auto"/>
        <w:jc w:val="both"/>
        <w:rPr>
          <w:rFonts w:cs="Arial"/>
        </w:rPr>
      </w:pPr>
      <w:r w:rsidRPr="005249B6">
        <w:rPr>
          <w:rFonts w:cs="Arial"/>
        </w:rPr>
        <w:t>Complementing its hardware</w:t>
      </w:r>
      <w:r w:rsidR="00C51130">
        <w:rPr>
          <w:rFonts w:cs="Arial"/>
        </w:rPr>
        <w:t xml:space="preserve"> portfolio</w:t>
      </w:r>
      <w:r w:rsidRPr="005249B6">
        <w:rPr>
          <w:rFonts w:cs="Arial"/>
        </w:rPr>
        <w:t xml:space="preserve">, WEG will </w:t>
      </w:r>
      <w:r w:rsidR="00C51130">
        <w:rPr>
          <w:rFonts w:cs="Arial"/>
        </w:rPr>
        <w:t xml:space="preserve">also </w:t>
      </w:r>
      <w:r w:rsidRPr="005249B6">
        <w:rPr>
          <w:rFonts w:cs="Arial"/>
        </w:rPr>
        <w:t xml:space="preserve">demonstrate </w:t>
      </w:r>
      <w:hyperlink r:id="rId18" w:history="1">
        <w:r w:rsidR="0025317D" w:rsidRPr="00222030">
          <w:rPr>
            <w:rStyle w:val="Hyperlink"/>
            <w:rFonts w:cs="Arial"/>
          </w:rPr>
          <w:t xml:space="preserve">Human Machine </w:t>
        </w:r>
        <w:r w:rsidRPr="00222030">
          <w:rPr>
            <w:rStyle w:val="Hyperlink"/>
            <w:rFonts w:cs="Arial"/>
          </w:rPr>
          <w:t>Interfaces</w:t>
        </w:r>
      </w:hyperlink>
      <w:r w:rsidRPr="005249B6">
        <w:rPr>
          <w:rFonts w:cs="Arial"/>
        </w:rPr>
        <w:t xml:space="preserve"> </w:t>
      </w:r>
      <w:r w:rsidR="00222030">
        <w:rPr>
          <w:rFonts w:cs="Arial"/>
        </w:rPr>
        <w:t xml:space="preserve">(HMI) </w:t>
      </w:r>
      <w:r w:rsidR="00DF3F1F" w:rsidRPr="00DF3F1F">
        <w:rPr>
          <w:rFonts w:cs="Arial"/>
        </w:rPr>
        <w:t xml:space="preserve">designed to support increasingly complex machine and process requirements, including seed treatment and fertiliser dosing systems in agriculture, as well as temperature and recipe management applications in the food and beverage sector. </w:t>
      </w:r>
    </w:p>
    <w:p w14:paraId="25F11402" w14:textId="1AE7129C" w:rsidR="00040C0A" w:rsidRDefault="00DF3F1F" w:rsidP="00324B54">
      <w:pPr>
        <w:spacing w:line="480" w:lineRule="auto"/>
        <w:jc w:val="both"/>
        <w:rPr>
          <w:rFonts w:cs="Arial"/>
        </w:rPr>
      </w:pPr>
      <w:r w:rsidRPr="00DF3F1F">
        <w:rPr>
          <w:rFonts w:cs="Arial"/>
        </w:rPr>
        <w:lastRenderedPageBreak/>
        <w:t>The HMIs streamline control, monitoring and supervision and can be seamlessly integrated into automation systems, supporting reliable, efficient and user-friendly operation.</w:t>
      </w:r>
    </w:p>
    <w:p w14:paraId="4C9B7775" w14:textId="77777777" w:rsidR="00DF3F1F" w:rsidRDefault="00DF3F1F" w:rsidP="00324B54">
      <w:pPr>
        <w:spacing w:line="480" w:lineRule="auto"/>
        <w:jc w:val="both"/>
        <w:rPr>
          <w:rFonts w:cs="Arial"/>
        </w:rPr>
      </w:pPr>
    </w:p>
    <w:p w14:paraId="3BAABE65" w14:textId="6BD4FDD1" w:rsidR="00324B54" w:rsidRPr="00547F2C" w:rsidRDefault="005D6F87" w:rsidP="00324B54">
      <w:pPr>
        <w:spacing w:line="480" w:lineRule="auto"/>
        <w:jc w:val="both"/>
        <w:rPr>
          <w:rFonts w:cs="Arial"/>
          <w:i/>
          <w:iCs/>
        </w:rPr>
      </w:pPr>
      <w:r>
        <w:rPr>
          <w:rFonts w:cs="Arial"/>
          <w:i/>
          <w:iCs/>
        </w:rPr>
        <w:t xml:space="preserve">Visit WEG at booth A-132 </w:t>
      </w:r>
      <w:r w:rsidR="00DA169D">
        <w:rPr>
          <w:rFonts w:cs="Arial"/>
          <w:i/>
          <w:iCs/>
        </w:rPr>
        <w:t>t</w:t>
      </w:r>
      <w:r w:rsidR="00324B54" w:rsidRPr="00B96120">
        <w:rPr>
          <w:rFonts w:cs="Arial"/>
          <w:i/>
          <w:iCs/>
        </w:rPr>
        <w:t xml:space="preserve">o </w:t>
      </w:r>
      <w:r w:rsidR="00324B54" w:rsidRPr="00547F2C">
        <w:rPr>
          <w:rFonts w:cs="Arial"/>
          <w:i/>
          <w:iCs/>
        </w:rPr>
        <w:t xml:space="preserve">explore </w:t>
      </w:r>
      <w:r>
        <w:rPr>
          <w:rFonts w:cs="Arial"/>
          <w:i/>
          <w:iCs/>
        </w:rPr>
        <w:t>its</w:t>
      </w:r>
      <w:r w:rsidR="00C63943">
        <w:rPr>
          <w:rFonts w:cs="Arial"/>
          <w:i/>
          <w:iCs/>
        </w:rPr>
        <w:t xml:space="preserve"> </w:t>
      </w:r>
      <w:hyperlink r:id="rId19" w:history="1">
        <w:r w:rsidR="00C63943" w:rsidRPr="00150091">
          <w:rPr>
            <w:rStyle w:val="Hyperlink"/>
            <w:rFonts w:cs="Arial"/>
            <w:i/>
            <w:iCs/>
          </w:rPr>
          <w:t>motors, drives and automation systems</w:t>
        </w:r>
      </w:hyperlink>
      <w:r w:rsidR="00C63943" w:rsidRPr="00547F2C">
        <w:rPr>
          <w:rFonts w:cs="Arial"/>
          <w:i/>
          <w:iCs/>
        </w:rPr>
        <w:t xml:space="preserve"> </w:t>
      </w:r>
      <w:r w:rsidR="00C63943">
        <w:rPr>
          <w:rFonts w:cs="Arial"/>
          <w:i/>
          <w:iCs/>
        </w:rPr>
        <w:t>for</w:t>
      </w:r>
      <w:r w:rsidR="00324B54" w:rsidRPr="00547F2C">
        <w:rPr>
          <w:rFonts w:cs="Arial"/>
          <w:i/>
          <w:iCs/>
        </w:rPr>
        <w:t xml:space="preserve"> </w:t>
      </w:r>
      <w:r w:rsidR="00547F2C" w:rsidRPr="00547F2C">
        <w:rPr>
          <w:i/>
          <w:iCs/>
        </w:rPr>
        <w:t xml:space="preserve">the </w:t>
      </w:r>
      <w:r w:rsidR="00222030">
        <w:rPr>
          <w:i/>
          <w:iCs/>
        </w:rPr>
        <w:t>food and beverage</w:t>
      </w:r>
      <w:r w:rsidR="00547F2C" w:rsidRPr="00547F2C">
        <w:rPr>
          <w:i/>
          <w:iCs/>
        </w:rPr>
        <w:t xml:space="preserve"> sector</w:t>
      </w:r>
      <w:r w:rsidR="00C63943">
        <w:rPr>
          <w:rFonts w:cs="Arial"/>
          <w:i/>
          <w:iCs/>
        </w:rPr>
        <w:t>.</w:t>
      </w:r>
    </w:p>
    <w:p w14:paraId="0D776795" w14:textId="77777777" w:rsidR="00EB0961" w:rsidRPr="00547F2C" w:rsidRDefault="00EB0961" w:rsidP="00324B54">
      <w:pPr>
        <w:spacing w:line="480" w:lineRule="auto"/>
        <w:jc w:val="both"/>
        <w:rPr>
          <w:rFonts w:cs="Arial"/>
          <w:i/>
          <w:iCs/>
        </w:rPr>
      </w:pPr>
    </w:p>
    <w:p w14:paraId="5D2DCB53" w14:textId="7E7F70B4"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36287">
        <w:rPr>
          <w:rFonts w:eastAsia="MS Mincho" w:cs="Arial"/>
        </w:rPr>
        <w:t>42</w:t>
      </w:r>
      <w:r w:rsidR="00F414AF">
        <w:rPr>
          <w:rFonts w:eastAsia="MS Mincho" w:cs="Arial"/>
        </w:rPr>
        <w:t>3</w:t>
      </w:r>
      <w:r w:rsidR="00336287" w:rsidRPr="005076D1">
        <w:rPr>
          <w:rFonts w:eastAsia="MS Mincho" w:cs="Arial"/>
        </w:rPr>
        <w:t xml:space="preserve"> </w:t>
      </w:r>
      <w:r w:rsidRPr="005076D1">
        <w:rPr>
          <w:rFonts w:eastAsia="MS Mincho" w:cs="Arial"/>
        </w:rPr>
        <w:t>words</w:t>
      </w:r>
    </w:p>
    <w:p w14:paraId="5D2DCB54" w14:textId="77777777" w:rsidR="00E03D45" w:rsidRPr="008A6A7A" w:rsidRDefault="00E03D45" w:rsidP="008A6A7A">
      <w:pPr>
        <w:rPr>
          <w:rFonts w:eastAsia="MS Mincho"/>
        </w:rPr>
      </w:pPr>
    </w:p>
    <w:p w14:paraId="5D2DCB55" w14:textId="77777777" w:rsidR="000E4DA2" w:rsidRPr="008A6A7A" w:rsidRDefault="000E4DA2" w:rsidP="000E4DA2">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0E4DA2" w:rsidRPr="008A6A7A" w:rsidRDefault="000E4DA2" w:rsidP="000E4DA2">
      <w:pPr>
        <w:rPr>
          <w:rFonts w:eastAsia="MS Mincho"/>
        </w:rPr>
      </w:pPr>
    </w:p>
    <w:p w14:paraId="5D2DCB57" w14:textId="77777777" w:rsidR="000E4DA2" w:rsidRPr="008A6A7A" w:rsidRDefault="000E4DA2" w:rsidP="000E4DA2">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20" w:history="1">
        <w:r w:rsidRPr="008A6A7A">
          <w:rPr>
            <w:rStyle w:val="Hyperlink"/>
            <w:rFonts w:cs="Arial"/>
          </w:rPr>
          <w:t>https://www.weg.net/institutional/MR/en/all-news/all</w:t>
        </w:r>
      </w:hyperlink>
    </w:p>
    <w:p w14:paraId="5D2DCB58" w14:textId="77777777" w:rsidR="000E4DA2" w:rsidRPr="008A6A7A" w:rsidRDefault="000E4DA2" w:rsidP="000E4DA2">
      <w:pPr>
        <w:rPr>
          <w:rFonts w:eastAsia="MS Mincho"/>
          <w:b/>
          <w:bCs/>
          <w:color w:val="00529C"/>
        </w:rPr>
      </w:pPr>
    </w:p>
    <w:p w14:paraId="259D6186" w14:textId="77777777" w:rsidR="000E4DA2" w:rsidRPr="00633467" w:rsidRDefault="000E4DA2" w:rsidP="000E4DA2">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0E4DA2" w:rsidRPr="004E6D19" w:rsidRDefault="000E4DA2" w:rsidP="000E4DA2">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0E4DA2" w:rsidRPr="00CE329E" w:rsidRDefault="000E4DA2" w:rsidP="000E4DA2">
      <w:pPr>
        <w:rPr>
          <w:rFonts w:eastAsia="MS Mincho"/>
          <w:bCs/>
        </w:rPr>
      </w:pPr>
      <w:r w:rsidRPr="00CE329E">
        <w:rPr>
          <w:rFonts w:eastAsia="MS Mincho"/>
          <w:b/>
          <w:color w:val="4472C4"/>
        </w:rPr>
        <w:t>www:</w:t>
      </w:r>
      <w:r w:rsidRPr="00CE329E">
        <w:rPr>
          <w:color w:val="FF9933"/>
        </w:rPr>
        <w:t xml:space="preserve"> </w:t>
      </w:r>
      <w:hyperlink r:id="rId21" w:history="1">
        <w:r w:rsidRPr="00CE329E">
          <w:rPr>
            <w:rStyle w:val="Hyperlink"/>
            <w:rFonts w:cs="Arial"/>
          </w:rPr>
          <w:t>www.weg.net</w:t>
        </w:r>
      </w:hyperlink>
      <w:r w:rsidRPr="00CE329E">
        <w:rPr>
          <w:bCs/>
        </w:rPr>
        <w:t xml:space="preserve"> </w:t>
      </w:r>
    </w:p>
    <w:p w14:paraId="6959D219" w14:textId="77777777" w:rsidR="000E4DA2" w:rsidRPr="004E6D19" w:rsidRDefault="000E4DA2" w:rsidP="000E4DA2">
      <w:r w:rsidRPr="004E6D19">
        <w:rPr>
          <w:rFonts w:eastAsia="MS Mincho"/>
          <w:b/>
          <w:bCs/>
          <w:color w:val="4472C4"/>
        </w:rPr>
        <w:t>e-mail:</w:t>
      </w:r>
      <w:r w:rsidRPr="004E6D19">
        <w:rPr>
          <w:color w:val="000000" w:themeColor="text1"/>
          <w:lang w:eastAsia="en-GB"/>
        </w:rPr>
        <w:t xml:space="preserve"> </w:t>
      </w:r>
      <w:hyperlink r:id="rId22" w:history="1">
        <w:r w:rsidRPr="004E6D19">
          <w:rPr>
            <w:rStyle w:val="Hyperlink"/>
            <w:lang w:eastAsia="en-GB"/>
          </w:rPr>
          <w:t>info-ch@weg.net</w:t>
        </w:r>
      </w:hyperlink>
    </w:p>
    <w:p w14:paraId="35DE0072" w14:textId="77777777" w:rsidR="000E4DA2" w:rsidRPr="004E6D19" w:rsidRDefault="000E4DA2" w:rsidP="000E4DA2">
      <w:pPr>
        <w:rPr>
          <w:rFonts w:eastAsia="MS Mincho"/>
          <w:color w:val="0C7289"/>
        </w:rPr>
      </w:pPr>
    </w:p>
    <w:p w14:paraId="20C3D674" w14:textId="3EE16DF2" w:rsidR="000E4DA2" w:rsidRPr="008A6A7A" w:rsidRDefault="000E4DA2" w:rsidP="000E4DA2">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Carson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0E4DA2" w:rsidRPr="00E23DAC" w:rsidRDefault="000E4DA2" w:rsidP="000E4DA2">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6943BBEC" w:rsidR="000E4DA2" w:rsidRPr="004E6D19" w:rsidRDefault="000E4DA2" w:rsidP="000E4DA2">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23" w:history="1">
        <w:r w:rsidRPr="004E6D19">
          <w:rPr>
            <w:rStyle w:val="Hyperlink"/>
            <w:rFonts w:eastAsia="MS Mincho"/>
            <w:spacing w:val="-3"/>
          </w:rPr>
          <w:t>stephanie@stonejunction.co.uk</w:t>
        </w:r>
      </w:hyperlink>
      <w:r w:rsidRPr="004E6D19">
        <w:rPr>
          <w:rFonts w:eastAsia="MS Mincho"/>
          <w:spacing w:val="-3"/>
        </w:rPr>
        <w:t xml:space="preserve"> or </w:t>
      </w:r>
      <w:hyperlink r:id="rId24" w:history="1">
        <w:r w:rsidRPr="006919DA">
          <w:rPr>
            <w:rStyle w:val="Hyperlink"/>
          </w:rPr>
          <w:t>encarna@stonejunction.co.uk</w:t>
        </w:r>
      </w:hyperlink>
    </w:p>
    <w:p w14:paraId="5D2DCB61" w14:textId="77777777" w:rsidR="000E4DA2" w:rsidRPr="004E6D19" w:rsidRDefault="000E4DA2" w:rsidP="000E4DA2">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5"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3004C224" w14:textId="77777777" w:rsidR="000E4DA2" w:rsidRPr="004E6D19" w:rsidRDefault="000E4DA2" w:rsidP="000E4DA2">
      <w:pPr>
        <w:rPr>
          <w:rFonts w:eastAsia="MS Mincho"/>
          <w:bCs/>
          <w:color w:val="002060"/>
          <w:spacing w:val="-3"/>
          <w:lang w:val="fr-FR"/>
        </w:rPr>
      </w:pPr>
      <w:r>
        <w:rPr>
          <w:rFonts w:eastAsia="MS Mincho"/>
          <w:b/>
          <w:bCs/>
          <w:color w:val="4472C4"/>
          <w:lang w:val="fr-FR"/>
        </w:rPr>
        <w:t>X</w:t>
      </w:r>
      <w:r w:rsidRPr="004E6D19">
        <w:rPr>
          <w:rFonts w:eastAsia="MS Mincho"/>
          <w:b/>
          <w:bCs/>
          <w:color w:val="4472C4"/>
          <w:lang w:val="fr-FR"/>
        </w:rPr>
        <w:t>:</w:t>
      </w:r>
      <w:r w:rsidRPr="004E6D19">
        <w:rPr>
          <w:rFonts w:eastAsia="MS Mincho"/>
          <w:b/>
          <w:bCs/>
          <w:color w:val="00529C"/>
          <w:spacing w:val="-3"/>
          <w:lang w:val="fr-FR"/>
        </w:rPr>
        <w:t xml:space="preserve"> </w:t>
      </w:r>
      <w:hyperlink r:id="rId26" w:history="1">
        <w:r w:rsidRPr="00114682">
          <w:rPr>
            <w:rStyle w:val="Hyperlink"/>
            <w:rFonts w:eastAsia="MS Mincho" w:cs="Arial"/>
            <w:bCs/>
            <w:spacing w:val="-3"/>
            <w:lang w:val="fr-FR"/>
          </w:rPr>
          <w:t>www.x.com/StoneJunctionPR</w:t>
        </w:r>
      </w:hyperlink>
    </w:p>
    <w:p w14:paraId="5D2DCB64" w14:textId="77777777" w:rsidR="000E4DA2" w:rsidRDefault="000E4DA2" w:rsidP="000E4DA2">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7" w:history="1">
        <w:r w:rsidRPr="004E6D19">
          <w:rPr>
            <w:rStyle w:val="Hyperlink"/>
            <w:rFonts w:eastAsia="MS Mincho" w:cs="Arial"/>
            <w:lang w:val="fr-FR"/>
          </w:rPr>
          <w:t>http://www.facebook.com/technicalPR</w:t>
        </w:r>
      </w:hyperlink>
    </w:p>
    <w:p w14:paraId="5D2DCB65" w14:textId="77777777" w:rsidR="000E4DA2" w:rsidRPr="002C207B" w:rsidRDefault="000E4DA2" w:rsidP="000E4DA2">
      <w:pPr>
        <w:rPr>
          <w:rFonts w:eastAsia="MS Mincho"/>
          <w:bCs/>
          <w:color w:val="002060"/>
          <w:spacing w:val="-3"/>
          <w:lang w:val="fr-FR"/>
        </w:rPr>
      </w:pPr>
      <w:r w:rsidRPr="004E6D19">
        <w:rPr>
          <w:rFonts w:eastAsia="MS Mincho"/>
          <w:b/>
          <w:color w:val="4472C4"/>
          <w:lang w:val="fr-FR"/>
        </w:rPr>
        <w:t>LinkedIn:</w:t>
      </w:r>
      <w:r w:rsidRPr="004E6D19">
        <w:rPr>
          <w:rFonts w:eastAsia="MS Mincho"/>
          <w:color w:val="4472C4"/>
          <w:lang w:val="fr-FR" w:eastAsia="en-GB"/>
        </w:rPr>
        <w:t xml:space="preserve"> </w:t>
      </w:r>
      <w:hyperlink r:id="rId28" w:history="1">
        <w:r w:rsidRPr="002C207B">
          <w:rPr>
            <w:rStyle w:val="Hyperlink"/>
            <w:rFonts w:eastAsia="MS Mincho" w:cs="Arial"/>
            <w:lang w:val="fr-FR"/>
          </w:rPr>
          <w:t>https://www.linkedin.com/company/stone-junction-ltd</w:t>
        </w:r>
      </w:hyperlink>
    </w:p>
    <w:p w14:paraId="6F28DF9F" w14:textId="668D32DC" w:rsidR="000E4DA2" w:rsidRDefault="000E4DA2" w:rsidP="000E4DA2">
      <w:pPr>
        <w:pStyle w:val="NormalWeb"/>
        <w:jc w:val="both"/>
        <w:rPr>
          <w:rFonts w:ascii="Arial" w:hAnsi="Arial" w:cs="Arial"/>
          <w:lang w:val="en-GB"/>
        </w:rPr>
      </w:pPr>
      <w:r w:rsidRPr="002C207B">
        <w:rPr>
          <w:rFonts w:ascii="Arial" w:hAnsi="Arial" w:cs="Arial"/>
          <w:color w:val="2D2B2B"/>
          <w:shd w:val="clear" w:color="auto" w:fill="FFFFFF"/>
          <w:lang w:val="nl-NL"/>
        </w:rPr>
        <w:t xml:space="preserve"> </w:t>
      </w:r>
      <w:bookmarkStart w:id="0" w:name="_Hlk213113018"/>
      <w:r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51E511DD" w:rsidR="000E4DA2" w:rsidRDefault="000E4DA2" w:rsidP="000E4DA2">
      <w:pPr>
        <w:pStyle w:val="NormalWeb"/>
        <w:jc w:val="both"/>
        <w:rPr>
          <w:rFonts w:ascii="Arial" w:hAnsi="Arial" w:cs="Arial"/>
        </w:rPr>
      </w:pPr>
      <w:r w:rsidRPr="004D34BA">
        <w:rPr>
          <w:rFonts w:ascii="Arial" w:hAnsi="Arial" w:cs="Arial"/>
          <w:lang w:val="en-GB"/>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w:t>
      </w:r>
      <w:r w:rsidRPr="004D34BA">
        <w:rPr>
          <w:rFonts w:ascii="Arial" w:hAnsi="Arial" w:cs="Arial"/>
          <w:lang w:val="en-GB"/>
        </w:rPr>
        <w:lastRenderedPageBreak/>
        <w:t>employees worldwide. WEG’s net revenue reached R$ 38.0 billion in 2024, 57 per cent from external markets. For more information, visit</w:t>
      </w:r>
      <w:r>
        <w:rPr>
          <w:rFonts w:ascii="Arial" w:hAnsi="Arial" w:cs="Arial"/>
        </w:rPr>
        <w:t xml:space="preserve"> </w:t>
      </w:r>
      <w:hyperlink r:id="rId29" w:history="1">
        <w:r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7C868FBB"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EB0961">
        <w:rPr>
          <w:rFonts w:eastAsia="MS Mincho" w:cs="Arial"/>
          <w:spacing w:val="-3"/>
        </w:rPr>
        <w:t>1</w:t>
      </w:r>
      <w:r w:rsidR="00B44245">
        <w:rPr>
          <w:rFonts w:eastAsia="MS Mincho" w:cs="Arial"/>
          <w:spacing w:val="-3"/>
        </w:rPr>
        <w:t>248</w:t>
      </w:r>
      <w:r w:rsidRPr="005076D1">
        <w:rPr>
          <w:rFonts w:eastAsia="MS Mincho" w:cs="Arial"/>
          <w:spacing w:val="-3"/>
        </w:rPr>
        <w:t>/</w:t>
      </w:r>
      <w:r w:rsidR="00C46451">
        <w:rPr>
          <w:rFonts w:eastAsia="MS Mincho" w:cs="Arial"/>
          <w:spacing w:val="-3"/>
        </w:rPr>
        <w:t>0</w:t>
      </w:r>
      <w:r w:rsidR="00B44245">
        <w:rPr>
          <w:rFonts w:eastAsia="MS Mincho" w:cs="Arial"/>
          <w:spacing w:val="-3"/>
        </w:rPr>
        <w:t>2</w:t>
      </w:r>
      <w:r w:rsidRPr="005076D1">
        <w:rPr>
          <w:rFonts w:eastAsia="MS Mincho" w:cs="Arial"/>
          <w:spacing w:val="-3"/>
        </w:rPr>
        <w:t>/</w:t>
      </w:r>
      <w:r w:rsidR="00EB0961">
        <w:rPr>
          <w:rFonts w:eastAsia="MS Mincho" w:cs="Arial"/>
          <w:spacing w:val="-3"/>
        </w:rPr>
        <w:t>2</w:t>
      </w:r>
      <w:r w:rsidR="00C46451">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3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43FD7" w14:textId="77777777" w:rsidR="005A65F3" w:rsidRDefault="005A65F3" w:rsidP="00C0175F">
      <w:r>
        <w:separator/>
      </w:r>
    </w:p>
  </w:endnote>
  <w:endnote w:type="continuationSeparator" w:id="0">
    <w:p w14:paraId="026C1BEF" w14:textId="77777777" w:rsidR="005A65F3" w:rsidRDefault="005A65F3" w:rsidP="00C0175F">
      <w:r>
        <w:continuationSeparator/>
      </w:r>
    </w:p>
  </w:endnote>
  <w:endnote w:type="continuationNotice" w:id="1">
    <w:p w14:paraId="0BAD5C50" w14:textId="77777777" w:rsidR="005A65F3" w:rsidRDefault="005A65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211976" w14:textId="77777777" w:rsidR="005A65F3" w:rsidRDefault="005A65F3" w:rsidP="00C0175F">
      <w:r>
        <w:separator/>
      </w:r>
    </w:p>
  </w:footnote>
  <w:footnote w:type="continuationSeparator" w:id="0">
    <w:p w14:paraId="7BD57AF1" w14:textId="77777777" w:rsidR="005A65F3" w:rsidRDefault="005A65F3" w:rsidP="00C0175F">
      <w:r>
        <w:continuationSeparator/>
      </w:r>
    </w:p>
  </w:footnote>
  <w:footnote w:type="continuationNotice" w:id="1">
    <w:p w14:paraId="1EA57767" w14:textId="77777777" w:rsidR="005A65F3" w:rsidRDefault="005A65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8723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14303"/>
    <w:rsid w:val="00022E0A"/>
    <w:rsid w:val="000245BC"/>
    <w:rsid w:val="00027828"/>
    <w:rsid w:val="00027D32"/>
    <w:rsid w:val="00037440"/>
    <w:rsid w:val="00037CC5"/>
    <w:rsid w:val="00040C0A"/>
    <w:rsid w:val="00041BDF"/>
    <w:rsid w:val="00041F77"/>
    <w:rsid w:val="00045BF8"/>
    <w:rsid w:val="0005012E"/>
    <w:rsid w:val="00057887"/>
    <w:rsid w:val="000632A5"/>
    <w:rsid w:val="0007157F"/>
    <w:rsid w:val="00077D8A"/>
    <w:rsid w:val="00085BF2"/>
    <w:rsid w:val="00096BC6"/>
    <w:rsid w:val="000B7E0B"/>
    <w:rsid w:val="000C2851"/>
    <w:rsid w:val="000C49A7"/>
    <w:rsid w:val="000D2DEA"/>
    <w:rsid w:val="000D6C36"/>
    <w:rsid w:val="000D7240"/>
    <w:rsid w:val="000E4DA2"/>
    <w:rsid w:val="000F18F1"/>
    <w:rsid w:val="000F78F9"/>
    <w:rsid w:val="0010339A"/>
    <w:rsid w:val="00116652"/>
    <w:rsid w:val="00127AF8"/>
    <w:rsid w:val="00136CF4"/>
    <w:rsid w:val="0014344C"/>
    <w:rsid w:val="00150091"/>
    <w:rsid w:val="001538CB"/>
    <w:rsid w:val="00155C9B"/>
    <w:rsid w:val="00165FE6"/>
    <w:rsid w:val="001749B1"/>
    <w:rsid w:val="00181F56"/>
    <w:rsid w:val="00182D1E"/>
    <w:rsid w:val="00192378"/>
    <w:rsid w:val="001928C8"/>
    <w:rsid w:val="001A3D24"/>
    <w:rsid w:val="001A414D"/>
    <w:rsid w:val="001B2D8F"/>
    <w:rsid w:val="001C062A"/>
    <w:rsid w:val="001C2F74"/>
    <w:rsid w:val="001C4B73"/>
    <w:rsid w:val="001C664F"/>
    <w:rsid w:val="001D1660"/>
    <w:rsid w:val="001D6804"/>
    <w:rsid w:val="00202C3C"/>
    <w:rsid w:val="0020733F"/>
    <w:rsid w:val="00214A35"/>
    <w:rsid w:val="00222030"/>
    <w:rsid w:val="00222494"/>
    <w:rsid w:val="00223D56"/>
    <w:rsid w:val="0022467D"/>
    <w:rsid w:val="00235D51"/>
    <w:rsid w:val="0025317D"/>
    <w:rsid w:val="002729EE"/>
    <w:rsid w:val="00293FCA"/>
    <w:rsid w:val="0029455D"/>
    <w:rsid w:val="00295AAF"/>
    <w:rsid w:val="00296531"/>
    <w:rsid w:val="002A1459"/>
    <w:rsid w:val="002A4040"/>
    <w:rsid w:val="002B2F32"/>
    <w:rsid w:val="002B5A47"/>
    <w:rsid w:val="002C479C"/>
    <w:rsid w:val="002C55B0"/>
    <w:rsid w:val="002E2B8B"/>
    <w:rsid w:val="002E38B3"/>
    <w:rsid w:val="002E58A3"/>
    <w:rsid w:val="002E6492"/>
    <w:rsid w:val="002F388A"/>
    <w:rsid w:val="002F692E"/>
    <w:rsid w:val="0030281F"/>
    <w:rsid w:val="00302AA3"/>
    <w:rsid w:val="003044BC"/>
    <w:rsid w:val="00304564"/>
    <w:rsid w:val="00307823"/>
    <w:rsid w:val="00324B54"/>
    <w:rsid w:val="00336287"/>
    <w:rsid w:val="00344857"/>
    <w:rsid w:val="00346C4C"/>
    <w:rsid w:val="00351818"/>
    <w:rsid w:val="003646FD"/>
    <w:rsid w:val="0036641B"/>
    <w:rsid w:val="003708FC"/>
    <w:rsid w:val="00377378"/>
    <w:rsid w:val="00382C38"/>
    <w:rsid w:val="00387BB5"/>
    <w:rsid w:val="00391EED"/>
    <w:rsid w:val="003926D3"/>
    <w:rsid w:val="00396D46"/>
    <w:rsid w:val="003976DB"/>
    <w:rsid w:val="00397F17"/>
    <w:rsid w:val="003A7BBA"/>
    <w:rsid w:val="003B0031"/>
    <w:rsid w:val="003D39D6"/>
    <w:rsid w:val="003D5132"/>
    <w:rsid w:val="003E0411"/>
    <w:rsid w:val="003E5474"/>
    <w:rsid w:val="004046B9"/>
    <w:rsid w:val="0040505E"/>
    <w:rsid w:val="004225DF"/>
    <w:rsid w:val="00436D0F"/>
    <w:rsid w:val="004404A7"/>
    <w:rsid w:val="00440CA9"/>
    <w:rsid w:val="00463485"/>
    <w:rsid w:val="004749DC"/>
    <w:rsid w:val="004914C2"/>
    <w:rsid w:val="00492E4F"/>
    <w:rsid w:val="0049457A"/>
    <w:rsid w:val="004948DB"/>
    <w:rsid w:val="004A2AA0"/>
    <w:rsid w:val="004A765D"/>
    <w:rsid w:val="004D1123"/>
    <w:rsid w:val="004E27EF"/>
    <w:rsid w:val="004E6D19"/>
    <w:rsid w:val="004F229F"/>
    <w:rsid w:val="00500E9F"/>
    <w:rsid w:val="005059D2"/>
    <w:rsid w:val="005076D1"/>
    <w:rsid w:val="00507D34"/>
    <w:rsid w:val="005125A7"/>
    <w:rsid w:val="005179A3"/>
    <w:rsid w:val="00522573"/>
    <w:rsid w:val="00523983"/>
    <w:rsid w:val="005249B6"/>
    <w:rsid w:val="00524B55"/>
    <w:rsid w:val="00547E8E"/>
    <w:rsid w:val="00547F2C"/>
    <w:rsid w:val="0055048E"/>
    <w:rsid w:val="0055153E"/>
    <w:rsid w:val="00551987"/>
    <w:rsid w:val="00565D49"/>
    <w:rsid w:val="0057150E"/>
    <w:rsid w:val="00575480"/>
    <w:rsid w:val="00580101"/>
    <w:rsid w:val="005973B5"/>
    <w:rsid w:val="005A259A"/>
    <w:rsid w:val="005A65F3"/>
    <w:rsid w:val="005B2767"/>
    <w:rsid w:val="005B2F5B"/>
    <w:rsid w:val="005C2162"/>
    <w:rsid w:val="005C3A2D"/>
    <w:rsid w:val="005C3DF8"/>
    <w:rsid w:val="005C493E"/>
    <w:rsid w:val="005C72BE"/>
    <w:rsid w:val="005D4E2C"/>
    <w:rsid w:val="005D6F87"/>
    <w:rsid w:val="005E779B"/>
    <w:rsid w:val="005F0A68"/>
    <w:rsid w:val="0061053B"/>
    <w:rsid w:val="006154AA"/>
    <w:rsid w:val="006320A8"/>
    <w:rsid w:val="0064285E"/>
    <w:rsid w:val="006454C8"/>
    <w:rsid w:val="0064601A"/>
    <w:rsid w:val="006711B7"/>
    <w:rsid w:val="00673695"/>
    <w:rsid w:val="006842FB"/>
    <w:rsid w:val="00685357"/>
    <w:rsid w:val="00685A84"/>
    <w:rsid w:val="00687C41"/>
    <w:rsid w:val="006925F2"/>
    <w:rsid w:val="006A1D50"/>
    <w:rsid w:val="006A557D"/>
    <w:rsid w:val="006B4E00"/>
    <w:rsid w:val="006B7A4C"/>
    <w:rsid w:val="006C2FFB"/>
    <w:rsid w:val="006C5423"/>
    <w:rsid w:val="006D0EBA"/>
    <w:rsid w:val="006D4DAA"/>
    <w:rsid w:val="006E0698"/>
    <w:rsid w:val="006E4C6F"/>
    <w:rsid w:val="006F1FE5"/>
    <w:rsid w:val="00705749"/>
    <w:rsid w:val="00712995"/>
    <w:rsid w:val="0071431E"/>
    <w:rsid w:val="00726E08"/>
    <w:rsid w:val="00737F3E"/>
    <w:rsid w:val="007457CC"/>
    <w:rsid w:val="00763095"/>
    <w:rsid w:val="00763297"/>
    <w:rsid w:val="00764F31"/>
    <w:rsid w:val="0077111E"/>
    <w:rsid w:val="0078678F"/>
    <w:rsid w:val="00791250"/>
    <w:rsid w:val="00794657"/>
    <w:rsid w:val="007A1A2E"/>
    <w:rsid w:val="007B2663"/>
    <w:rsid w:val="007D1D1E"/>
    <w:rsid w:val="007E1C8F"/>
    <w:rsid w:val="007E5B66"/>
    <w:rsid w:val="007E5FAE"/>
    <w:rsid w:val="007F3F1C"/>
    <w:rsid w:val="007F66E2"/>
    <w:rsid w:val="00801A34"/>
    <w:rsid w:val="00803340"/>
    <w:rsid w:val="0081437B"/>
    <w:rsid w:val="00820CED"/>
    <w:rsid w:val="008229E4"/>
    <w:rsid w:val="00845626"/>
    <w:rsid w:val="00856AAC"/>
    <w:rsid w:val="00856C79"/>
    <w:rsid w:val="00857350"/>
    <w:rsid w:val="008575DB"/>
    <w:rsid w:val="00860192"/>
    <w:rsid w:val="008620DE"/>
    <w:rsid w:val="0086214D"/>
    <w:rsid w:val="008760C5"/>
    <w:rsid w:val="008A38F4"/>
    <w:rsid w:val="008A6A7A"/>
    <w:rsid w:val="008B30C6"/>
    <w:rsid w:val="008B5A66"/>
    <w:rsid w:val="008B7DBB"/>
    <w:rsid w:val="008C660E"/>
    <w:rsid w:val="008D63D5"/>
    <w:rsid w:val="008E7145"/>
    <w:rsid w:val="008F5EA5"/>
    <w:rsid w:val="00910E33"/>
    <w:rsid w:val="00917C8F"/>
    <w:rsid w:val="009213B5"/>
    <w:rsid w:val="009216C7"/>
    <w:rsid w:val="00924FCE"/>
    <w:rsid w:val="00934C4B"/>
    <w:rsid w:val="00947352"/>
    <w:rsid w:val="00952B84"/>
    <w:rsid w:val="00954FAB"/>
    <w:rsid w:val="00966FF8"/>
    <w:rsid w:val="009701B9"/>
    <w:rsid w:val="00971E43"/>
    <w:rsid w:val="00981A09"/>
    <w:rsid w:val="00982BCD"/>
    <w:rsid w:val="009A0A7F"/>
    <w:rsid w:val="009B68D9"/>
    <w:rsid w:val="009B71B5"/>
    <w:rsid w:val="009D5D02"/>
    <w:rsid w:val="009D7744"/>
    <w:rsid w:val="009E78CD"/>
    <w:rsid w:val="00A00780"/>
    <w:rsid w:val="00A03DBD"/>
    <w:rsid w:val="00A2312C"/>
    <w:rsid w:val="00A33F1E"/>
    <w:rsid w:val="00A44629"/>
    <w:rsid w:val="00A538D4"/>
    <w:rsid w:val="00A57CAF"/>
    <w:rsid w:val="00A72BE9"/>
    <w:rsid w:val="00A74D5B"/>
    <w:rsid w:val="00A832B5"/>
    <w:rsid w:val="00A869BF"/>
    <w:rsid w:val="00A87E88"/>
    <w:rsid w:val="00A91FE2"/>
    <w:rsid w:val="00A97965"/>
    <w:rsid w:val="00A97F93"/>
    <w:rsid w:val="00AB0AC6"/>
    <w:rsid w:val="00AB31B3"/>
    <w:rsid w:val="00AC4A80"/>
    <w:rsid w:val="00AC70B7"/>
    <w:rsid w:val="00AD3BD8"/>
    <w:rsid w:val="00AE0266"/>
    <w:rsid w:val="00AF076C"/>
    <w:rsid w:val="00B02318"/>
    <w:rsid w:val="00B04F8D"/>
    <w:rsid w:val="00B116E2"/>
    <w:rsid w:val="00B1798B"/>
    <w:rsid w:val="00B24E2F"/>
    <w:rsid w:val="00B258B4"/>
    <w:rsid w:val="00B25BE1"/>
    <w:rsid w:val="00B26E38"/>
    <w:rsid w:val="00B32BA1"/>
    <w:rsid w:val="00B44245"/>
    <w:rsid w:val="00B66859"/>
    <w:rsid w:val="00B8229A"/>
    <w:rsid w:val="00B8312E"/>
    <w:rsid w:val="00B8505B"/>
    <w:rsid w:val="00B86129"/>
    <w:rsid w:val="00B86E1F"/>
    <w:rsid w:val="00B87350"/>
    <w:rsid w:val="00B900D7"/>
    <w:rsid w:val="00B91FFD"/>
    <w:rsid w:val="00B92F4F"/>
    <w:rsid w:val="00BD0366"/>
    <w:rsid w:val="00BD1859"/>
    <w:rsid w:val="00BD2472"/>
    <w:rsid w:val="00BD3803"/>
    <w:rsid w:val="00BD6109"/>
    <w:rsid w:val="00C00639"/>
    <w:rsid w:val="00C0175F"/>
    <w:rsid w:val="00C03BA0"/>
    <w:rsid w:val="00C046F1"/>
    <w:rsid w:val="00C05954"/>
    <w:rsid w:val="00C05A6C"/>
    <w:rsid w:val="00C07DAB"/>
    <w:rsid w:val="00C17DFE"/>
    <w:rsid w:val="00C20A04"/>
    <w:rsid w:val="00C24D85"/>
    <w:rsid w:val="00C44A5B"/>
    <w:rsid w:val="00C46451"/>
    <w:rsid w:val="00C51130"/>
    <w:rsid w:val="00C51570"/>
    <w:rsid w:val="00C53825"/>
    <w:rsid w:val="00C60552"/>
    <w:rsid w:val="00C6066C"/>
    <w:rsid w:val="00C63943"/>
    <w:rsid w:val="00C65A85"/>
    <w:rsid w:val="00C80A3D"/>
    <w:rsid w:val="00C85581"/>
    <w:rsid w:val="00C94AB3"/>
    <w:rsid w:val="00C94B4E"/>
    <w:rsid w:val="00C96C54"/>
    <w:rsid w:val="00CA0066"/>
    <w:rsid w:val="00CA611D"/>
    <w:rsid w:val="00CA6F8B"/>
    <w:rsid w:val="00CB1C37"/>
    <w:rsid w:val="00CB26E7"/>
    <w:rsid w:val="00CB5356"/>
    <w:rsid w:val="00CD265B"/>
    <w:rsid w:val="00CE1DE4"/>
    <w:rsid w:val="00CE2B22"/>
    <w:rsid w:val="00CF666D"/>
    <w:rsid w:val="00D11350"/>
    <w:rsid w:val="00D122C3"/>
    <w:rsid w:val="00D1441B"/>
    <w:rsid w:val="00D151AE"/>
    <w:rsid w:val="00D45710"/>
    <w:rsid w:val="00D52945"/>
    <w:rsid w:val="00D54B4A"/>
    <w:rsid w:val="00D57F17"/>
    <w:rsid w:val="00D62AFE"/>
    <w:rsid w:val="00D67810"/>
    <w:rsid w:val="00D67F4B"/>
    <w:rsid w:val="00D70C98"/>
    <w:rsid w:val="00D738E3"/>
    <w:rsid w:val="00D73B1C"/>
    <w:rsid w:val="00D745E1"/>
    <w:rsid w:val="00D74F05"/>
    <w:rsid w:val="00D762A0"/>
    <w:rsid w:val="00D80086"/>
    <w:rsid w:val="00D84B54"/>
    <w:rsid w:val="00D951A4"/>
    <w:rsid w:val="00DA169D"/>
    <w:rsid w:val="00DB57D6"/>
    <w:rsid w:val="00DB6489"/>
    <w:rsid w:val="00DB69C3"/>
    <w:rsid w:val="00DB75D6"/>
    <w:rsid w:val="00DB7F70"/>
    <w:rsid w:val="00DD2052"/>
    <w:rsid w:val="00DE1B48"/>
    <w:rsid w:val="00DE2DEE"/>
    <w:rsid w:val="00DE3409"/>
    <w:rsid w:val="00DF1A13"/>
    <w:rsid w:val="00DF3F1F"/>
    <w:rsid w:val="00E008B8"/>
    <w:rsid w:val="00E03D45"/>
    <w:rsid w:val="00E10654"/>
    <w:rsid w:val="00E14628"/>
    <w:rsid w:val="00E23DAC"/>
    <w:rsid w:val="00E30BCD"/>
    <w:rsid w:val="00E3525A"/>
    <w:rsid w:val="00E44E5D"/>
    <w:rsid w:val="00E527AD"/>
    <w:rsid w:val="00E70F9A"/>
    <w:rsid w:val="00E76036"/>
    <w:rsid w:val="00E844A5"/>
    <w:rsid w:val="00E8641C"/>
    <w:rsid w:val="00EB0961"/>
    <w:rsid w:val="00EB1D2A"/>
    <w:rsid w:val="00EB2DE2"/>
    <w:rsid w:val="00EB4C49"/>
    <w:rsid w:val="00EC1F88"/>
    <w:rsid w:val="00EC373D"/>
    <w:rsid w:val="00EE04DD"/>
    <w:rsid w:val="00F16C57"/>
    <w:rsid w:val="00F24E50"/>
    <w:rsid w:val="00F414AF"/>
    <w:rsid w:val="00F603CF"/>
    <w:rsid w:val="00F624D9"/>
    <w:rsid w:val="00F63159"/>
    <w:rsid w:val="00F65F0B"/>
    <w:rsid w:val="00F668D0"/>
    <w:rsid w:val="00F8279E"/>
    <w:rsid w:val="00F97FF8"/>
    <w:rsid w:val="00FA03F5"/>
    <w:rsid w:val="00FB7022"/>
    <w:rsid w:val="00FC33CB"/>
    <w:rsid w:val="00FD2799"/>
    <w:rsid w:val="00FD5887"/>
    <w:rsid w:val="00FD77D4"/>
    <w:rsid w:val="00FE69F2"/>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4">
    <w:name w:val="heading 4"/>
    <w:basedOn w:val="Normal"/>
    <w:next w:val="Normal"/>
    <w:link w:val="Heading4Char"/>
    <w:uiPriority w:val="9"/>
    <w:semiHidden/>
    <w:unhideWhenUsed/>
    <w:qFormat/>
    <w:rsid w:val="00547E8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4Char">
    <w:name w:val="Heading 4 Char"/>
    <w:basedOn w:val="DefaultParagraphFont"/>
    <w:link w:val="Heading4"/>
    <w:uiPriority w:val="9"/>
    <w:semiHidden/>
    <w:rsid w:val="00547E8E"/>
    <w:rPr>
      <w:rFonts w:asciiTheme="majorHAnsi" w:eastAsiaTheme="majorEastAsia" w:hAnsiTheme="majorHAnsi" w:cstheme="majorBidi"/>
      <w:i/>
      <w:iCs/>
      <w:color w:val="2F5496" w:themeColor="accent1" w:themeShade="BF"/>
      <w:sz w:val="24"/>
      <w:szCs w:val="24"/>
      <w:lang w:eastAsia="en-US"/>
    </w:rPr>
  </w:style>
  <w:style w:type="paragraph" w:styleId="Revision">
    <w:name w:val="Revision"/>
    <w:hidden/>
    <w:uiPriority w:val="99"/>
    <w:semiHidden/>
    <w:rsid w:val="00440CA9"/>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440CA9"/>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40CA9"/>
    <w:rPr>
      <w:rFonts w:ascii="Arial" w:eastAsia="Calibri" w:hAnsi="Arial"/>
      <w:b/>
      <w:bCs/>
      <w:lang w:eastAsia="en-US"/>
    </w:rPr>
  </w:style>
  <w:style w:type="character" w:customStyle="1" w:styleId="UnresolvedMention2">
    <w:name w:val="Unresolved Mention2"/>
    <w:basedOn w:val="DefaultParagraphFont"/>
    <w:uiPriority w:val="99"/>
    <w:semiHidden/>
    <w:unhideWhenUsed/>
    <w:rsid w:val="00B116E2"/>
    <w:rPr>
      <w:color w:val="605E5C"/>
      <w:shd w:val="clear" w:color="auto" w:fill="E1DFDD"/>
    </w:rPr>
  </w:style>
  <w:style w:type="character" w:customStyle="1" w:styleId="UnresolvedMention3">
    <w:name w:val="Unresolved Mention3"/>
    <w:basedOn w:val="DefaultParagraphFont"/>
    <w:uiPriority w:val="99"/>
    <w:semiHidden/>
    <w:unhideWhenUsed/>
    <w:rsid w:val="00040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catalog/weg/FR/fr/R%C3%A9ducteurs-et-Motor%C3%A9ducteurs/WG20/c/GLOBAL_GEARBOXES_WG20?utm_source=google&amp;utm_medium=article&amp;utm_campaign=WEG1248&amp;utm_id=WEG1248&amp;utm_term=weg+at+cfia&amp;utm_content=Earned" TargetMode="External"/><Relationship Id="rId18" Type="http://schemas.openxmlformats.org/officeDocument/2006/relationships/hyperlink" Target="https://www.weg.net/catalog/weg/FR/fr/Automatismes-Industriels/Human-Machine-Interfaces-%28HMI%29/c/GLOBAL_WDC_AUT_IH?utm_source=google&amp;utm_medium=article&amp;utm_campaign=WEG1248&amp;utm_id=WEG1248&amp;utm_term=human+machine+interface&amp;utm_content=Earned" TargetMode="External"/><Relationship Id="rId26" Type="http://schemas.openxmlformats.org/officeDocument/2006/relationships/hyperlink" Target="http://www.x.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settings" Target="settings.xml"/><Relationship Id="rId12" Type="http://schemas.openxmlformats.org/officeDocument/2006/relationships/hyperlink" Target="https://www.weg.net/institutional/FR/fr/?utm_source=google&amp;utm_medium=article&amp;utm_campaign=WEG1248&amp;utm_id=WEG1248&amp;utm_term=weg+mat+cfia&amp;utm_content=Earned" TargetMode="External"/><Relationship Id="rId17" Type="http://schemas.openxmlformats.org/officeDocument/2006/relationships/hyperlink" Target="https://www.cemp-international.it/en/home-eng/?utm_source=google&amp;utm_medium=article&amp;utm_campaign=WEG1248&amp;utm_id=WEG1248&amp;utm_term=weg+at+cfia&amp;utm_content=Earned" TargetMode="External"/><Relationship Id="rId25"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https://www.weg.net/catalog/weg/FR/fr/Drives/Variable-Speed-Drives/OEM-and-General-Purpose-Drives/Variable-Speed-Drive-CFW500/Variable-Speed-Drive-CFW500/p/MKT_WDC_GLOBAL_VARIABLE_SPEED_DRIVE_CFW500?utm_source=google&amp;utm_medium=article&amp;utm_campaign=WEG1248&amp;utm_id=WEG1248&amp;utm_term=drives&amp;utm_content=Earned" TargetMode="External"/><Relationship Id="rId20" Type="http://schemas.openxmlformats.org/officeDocument/2006/relationships/hyperlink" Target="https://www.weg.net/institutional/MR/en/all-news/all" TargetMode="External"/><Relationship Id="rId29"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encarna@stonejunction.co.uk"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weg.net/catalog/weg/FR/fr/Drives/Variable-Speed-Drives/System-Drives/Variable-Speed-Drive-CFW900/c/GLOBAL_WDC_INVERTER_CFW900?utm_source=google&amp;utm_medium=article&amp;utm_campaign=WEG1248&amp;utm_id=WEG1248&amp;utm_term=drives&amp;utm_content=Earned" TargetMode="External"/><Relationship Id="rId23" Type="http://schemas.openxmlformats.org/officeDocument/2006/relationships/hyperlink" Target="mailto:stephanie@stonejunction.co.uk" TargetMode="External"/><Relationship Id="rId28"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s://www.weg.net/institutional/FR/fr/?utm_source=google&amp;utm_medium=article&amp;utm_campaign=WEG1248&amp;utm_id=WEG1248&amp;utm_term=weg+mat+cfia&amp;utm_content=Earned"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catalog/weg/FR/fr/Moteurs-%C3%89lectriques/Moteurs-CEI-Basse-Tension/Triphas%C3%A9/W23-Sync%2B/W23-Sync%2B/p/MKT_WMO_EU_TEXT_IMAGE_W23_SYNC_PLUS?utm_source=google&amp;utm_medium=article&amp;utm_campaign=WEG1248&amp;utm_id=WEG1248&amp;utm_term=human+machine+interface&amp;utm_content=Earned" TargetMode="External"/><Relationship Id="rId22" Type="http://schemas.openxmlformats.org/officeDocument/2006/relationships/hyperlink" Target="mailto:info-ch@weg.net" TargetMode="External"/><Relationship Id="rId27" Type="http://schemas.openxmlformats.org/officeDocument/2006/relationships/hyperlink" Target="http://www.facebook.com/technicalPR"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905AB11-91FF-4A8A-BF31-E679D81E9E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7F6079-93CA-411C-96DF-01233713E8C2}">
  <ds:schemaRefs>
    <ds:schemaRef ds:uri="http://schemas.openxmlformats.org/officeDocument/2006/bibliography"/>
  </ds:schemaRefs>
</ds:datastoreItem>
</file>

<file path=customXml/itemProps4.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620</Words>
  <Characters>3746</Characters>
  <Application>Microsoft Office Word</Application>
  <DocSecurity>0</DocSecurity>
  <Lines>84</Lines>
  <Paragraphs>27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112</cp:revision>
  <cp:lastPrinted>2013-11-28T05:43:00Z</cp:lastPrinted>
  <dcterms:created xsi:type="dcterms:W3CDTF">2026-01-12T09:15:00Z</dcterms:created>
  <dcterms:modified xsi:type="dcterms:W3CDTF">2026-02-11T11:50:00Z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