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741A568A" w14:textId="77777777" w:rsidR="00CC13A7" w:rsidRPr="00CC13A7" w:rsidRDefault="00CC13A7" w:rsidP="00CC13A7">
      <w:pPr>
        <w:spacing w:after="160" w:line="480" w:lineRule="auto"/>
        <w:rPr>
          <w:rFonts w:cs="Arial"/>
          <w:b/>
          <w:sz w:val="32"/>
        </w:rPr>
      </w:pPr>
    </w:p>
    <w:p w14:paraId="39024040" w14:textId="10FACE4E" w:rsidR="00CC13A7" w:rsidRPr="00CA7747" w:rsidRDefault="00CC13A7" w:rsidP="00F013F3">
      <w:pPr>
        <w:spacing w:after="160" w:line="480" w:lineRule="auto"/>
        <w:jc w:val="center"/>
        <w:rPr>
          <w:rFonts w:cs="Arial"/>
          <w:b/>
          <w:lang w:val="fr-BE"/>
        </w:rPr>
      </w:pPr>
      <w:r w:rsidRPr="00CA7747">
        <w:rPr>
          <w:rFonts w:cs="Arial"/>
          <w:b/>
          <w:sz w:val="32"/>
          <w:lang w:val="fr-BE"/>
        </w:rPr>
        <w:t>WEG présentera ses solutions avancées en matière de moteurs et d'entraînements lors du salon Indumation 2026</w:t>
      </w:r>
      <w:r w:rsidRPr="00CA7747">
        <w:rPr>
          <w:rFonts w:cs="Arial"/>
          <w:b/>
          <w:sz w:val="32"/>
          <w:lang w:val="fr-BE"/>
        </w:rPr>
        <w:br/>
      </w:r>
      <w:r w:rsidRPr="00CA7747">
        <w:rPr>
          <w:rFonts w:cs="Arial"/>
          <w:b/>
          <w:lang w:val="fr-BE"/>
        </w:rPr>
        <w:t>~ Moteurs compacts à flux axial, solutions à engrenages et technologie de freinage exposés en Belgique ~</w:t>
      </w:r>
    </w:p>
    <w:p w14:paraId="2ABEE70E" w14:textId="77777777" w:rsidR="0046686D" w:rsidRPr="00CA7747" w:rsidRDefault="0046686D" w:rsidP="0046686D">
      <w:pPr>
        <w:spacing w:line="480" w:lineRule="auto"/>
        <w:jc w:val="both"/>
        <w:rPr>
          <w:rFonts w:cs="Arial"/>
          <w:b/>
          <w:bCs/>
          <w:lang w:val="fr-BE"/>
        </w:rPr>
      </w:pPr>
    </w:p>
    <w:p w14:paraId="6201BD4D" w14:textId="52B9072F" w:rsidR="006A424A" w:rsidRPr="00CA7747" w:rsidRDefault="006A424A" w:rsidP="006A424A">
      <w:pPr>
        <w:spacing w:line="480" w:lineRule="auto"/>
        <w:jc w:val="both"/>
        <w:rPr>
          <w:rFonts w:cs="Arial"/>
          <w:b/>
          <w:bCs/>
          <w:lang w:val="fr-BE"/>
        </w:rPr>
      </w:pPr>
      <w:r w:rsidRPr="00CA7747">
        <w:rPr>
          <w:rFonts w:cs="Arial"/>
          <w:b/>
          <w:bCs/>
          <w:lang w:val="fr-BE"/>
        </w:rPr>
        <w:t xml:space="preserve">Le fabricant mondial </w:t>
      </w:r>
      <w:r w:rsidR="00DD6BB4" w:rsidRPr="00DD6BB4">
        <w:rPr>
          <w:rFonts w:cs="Arial"/>
          <w:b/>
          <w:bCs/>
        </w:rPr>
        <w:t xml:space="preserve">de </w:t>
      </w:r>
      <w:proofErr w:type="spellStart"/>
      <w:r w:rsidR="00DD6BB4" w:rsidRPr="00DD6BB4">
        <w:rPr>
          <w:rFonts w:cs="Arial"/>
          <w:b/>
          <w:bCs/>
        </w:rPr>
        <w:t>moteurs</w:t>
      </w:r>
      <w:proofErr w:type="spellEnd"/>
      <w:r w:rsidR="00DD6BB4" w:rsidRPr="00DD6BB4">
        <w:rPr>
          <w:rFonts w:cs="Arial"/>
          <w:b/>
          <w:bCs/>
        </w:rPr>
        <w:t xml:space="preserve"> et de </w:t>
      </w:r>
      <w:proofErr w:type="spellStart"/>
      <w:r w:rsidR="00DD6BB4" w:rsidRPr="00DD6BB4">
        <w:rPr>
          <w:rFonts w:cs="Arial"/>
          <w:b/>
          <w:bCs/>
        </w:rPr>
        <w:t>réducteurs</w:t>
      </w:r>
      <w:proofErr w:type="spellEnd"/>
      <w:r w:rsidRPr="00CA7747">
        <w:rPr>
          <w:rFonts w:cs="Arial"/>
          <w:b/>
          <w:bCs/>
          <w:lang w:val="fr-BE"/>
        </w:rPr>
        <w:t xml:space="preserve"> WEG sera présent au salon Indumation 2026, qui se tiendra </w:t>
      </w:r>
      <w:r w:rsidR="005B488D" w:rsidRPr="00CA7747">
        <w:rPr>
          <w:rFonts w:cs="Arial"/>
          <w:b/>
          <w:bCs/>
          <w:lang w:val="fr-BE"/>
        </w:rPr>
        <w:t xml:space="preserve">du 4 au 6 février au Kortrijk </w:t>
      </w:r>
      <w:proofErr w:type="spellStart"/>
      <w:r w:rsidR="005B488D" w:rsidRPr="00CA7747">
        <w:rPr>
          <w:rFonts w:cs="Arial"/>
          <w:b/>
          <w:bCs/>
          <w:lang w:val="fr-BE"/>
        </w:rPr>
        <w:t>Xpo</w:t>
      </w:r>
      <w:proofErr w:type="spellEnd"/>
      <w:r w:rsidR="005B488D" w:rsidRPr="00CA7747">
        <w:rPr>
          <w:rFonts w:cs="Arial"/>
          <w:b/>
          <w:bCs/>
          <w:lang w:val="fr-BE"/>
        </w:rPr>
        <w:t xml:space="preserve"> à Courtrai, en Belgique. </w:t>
      </w:r>
      <w:r w:rsidR="000A100A" w:rsidRPr="00CA7747">
        <w:rPr>
          <w:rFonts w:cs="Arial"/>
          <w:b/>
          <w:bCs/>
          <w:lang w:val="fr-BE"/>
        </w:rPr>
        <w:t xml:space="preserve">Sur le stand 119, </w:t>
      </w:r>
      <w:r w:rsidRPr="00CA7747">
        <w:rPr>
          <w:rFonts w:cs="Arial"/>
          <w:b/>
          <w:bCs/>
          <w:lang w:val="fr-BE"/>
        </w:rPr>
        <w:t xml:space="preserve">l'entreprise mettra en avant une sélection de </w:t>
      </w:r>
      <w:hyperlink r:id="rId11" w:history="1">
        <w:r w:rsidRPr="00CA7747">
          <w:rPr>
            <w:rStyle w:val="Hyperlink"/>
            <w:rFonts w:cs="Arial"/>
            <w:b/>
            <w:bCs/>
            <w:lang w:val="fr-BE"/>
          </w:rPr>
          <w:t>technologies de moteurs et de réducteurs</w:t>
        </w:r>
      </w:hyperlink>
      <w:r w:rsidRPr="00CA7747">
        <w:rPr>
          <w:rFonts w:cs="Arial"/>
          <w:b/>
          <w:bCs/>
          <w:lang w:val="fr-BE"/>
        </w:rPr>
        <w:t xml:space="preserve"> efficaces, compacts et adaptés aux applications pour les environnements d'automatisation industrielle. Le salon offre à WEG l'occasion de démontrer comment ses solutions favorisent la productivité, la fiabilité et l'efficacité énergétique dans les opérations de fabrication modernes. </w:t>
      </w:r>
    </w:p>
    <w:p w14:paraId="7F40BBCD" w14:textId="77777777" w:rsidR="002D7959" w:rsidRPr="00CA7747" w:rsidRDefault="002D7959" w:rsidP="006A424A">
      <w:pPr>
        <w:spacing w:line="480" w:lineRule="auto"/>
        <w:jc w:val="both"/>
        <w:rPr>
          <w:rFonts w:cs="Arial"/>
          <w:b/>
          <w:bCs/>
          <w:lang w:val="fr-BE"/>
        </w:rPr>
      </w:pPr>
    </w:p>
    <w:p w14:paraId="61187FBA" w14:textId="1D8439AB" w:rsidR="009C1F0A" w:rsidRPr="00CA7747" w:rsidRDefault="00F910A9" w:rsidP="006A424A">
      <w:pPr>
        <w:spacing w:line="480" w:lineRule="auto"/>
        <w:jc w:val="both"/>
        <w:rPr>
          <w:rFonts w:cs="Arial"/>
          <w:lang w:val="fr-BE"/>
        </w:rPr>
      </w:pPr>
      <w:r w:rsidRPr="00CA7747">
        <w:rPr>
          <w:rFonts w:cs="Arial"/>
          <w:lang w:val="fr-BE"/>
        </w:rPr>
        <w:t>Au salon Indumation 2026</w:t>
      </w:r>
      <w:r w:rsidR="000E4E41" w:rsidRPr="00CA7747">
        <w:rPr>
          <w:rFonts w:cs="Arial"/>
          <w:lang w:val="fr-BE"/>
        </w:rPr>
        <w:t xml:space="preserve">, </w:t>
      </w:r>
      <w:r w:rsidRPr="00CA7747">
        <w:rPr>
          <w:rFonts w:cs="Arial"/>
          <w:lang w:val="fr-BE"/>
        </w:rPr>
        <w:t xml:space="preserve">les visiteurs pourront découvrir le moteur W80 AxGen associé à la gamme W22. Cette démonstration met en avant les avantages de la technologie à flux axial pour les applications où une densité de couple élevée et un encombrement réduit sont essentiels. </w:t>
      </w:r>
      <w:r w:rsidR="009C1F0A" w:rsidRPr="00CA7747">
        <w:rPr>
          <w:rFonts w:cs="Arial"/>
          <w:lang w:val="fr-BE"/>
        </w:rPr>
        <w:t xml:space="preserve">La taille et le poids réduits </w:t>
      </w:r>
      <w:hyperlink r:id="rId12">
        <w:r w:rsidR="009C1F0A" w:rsidRPr="00CA7747">
          <w:rPr>
            <w:rStyle w:val="Hyperlink"/>
            <w:rFonts w:cs="Arial"/>
            <w:lang w:val="fr-BE"/>
          </w:rPr>
          <w:t>du W80 AxGen</w:t>
        </w:r>
      </w:hyperlink>
      <w:r w:rsidR="009C1F0A" w:rsidRPr="00CA7747">
        <w:rPr>
          <w:rFonts w:cs="Arial"/>
          <w:lang w:val="fr-BE"/>
        </w:rPr>
        <w:t xml:space="preserve"> le rendent </w:t>
      </w:r>
      <w:r w:rsidR="009C1F0A" w:rsidRPr="00CA7747">
        <w:rPr>
          <w:rFonts w:cs="Arial"/>
          <w:lang w:val="fr-BE"/>
        </w:rPr>
        <w:lastRenderedPageBreak/>
        <w:t>particulièrement adapté aux installations où l'espace est limité, sans compromettre les performances ou l'efficacité.</w:t>
      </w:r>
    </w:p>
    <w:p w14:paraId="4D193283" w14:textId="7A9B9EAF" w:rsidR="42289E7F" w:rsidRPr="00CA7747" w:rsidRDefault="42289E7F" w:rsidP="42289E7F">
      <w:pPr>
        <w:spacing w:line="480" w:lineRule="auto"/>
        <w:jc w:val="both"/>
        <w:rPr>
          <w:rFonts w:cs="Arial"/>
          <w:lang w:val="fr-BE"/>
        </w:rPr>
      </w:pPr>
    </w:p>
    <w:p w14:paraId="550CE647" w14:textId="28D557FE" w:rsidR="006A424A" w:rsidRPr="00CA7747" w:rsidRDefault="006A424A" w:rsidP="006A424A">
      <w:pPr>
        <w:spacing w:line="480" w:lineRule="auto"/>
        <w:jc w:val="both"/>
        <w:rPr>
          <w:rFonts w:cs="Arial"/>
          <w:lang w:val="fr-BE"/>
        </w:rPr>
      </w:pPr>
      <w:hyperlink r:id="rId13" w:history="1">
        <w:r w:rsidRPr="00CA7747">
          <w:rPr>
            <w:rStyle w:val="Hyperlink"/>
            <w:rFonts w:cs="Arial"/>
            <w:lang w:val="fr-BE"/>
          </w:rPr>
          <w:t>Le réducteur WG50</w:t>
        </w:r>
      </w:hyperlink>
      <w:r w:rsidRPr="00CA7747">
        <w:rPr>
          <w:rFonts w:cs="Arial"/>
          <w:lang w:val="fr-BE"/>
        </w:rPr>
        <w:t>, conçu pour être robuste et offrir une longue durée de vie dans des environnements industriels exigeants, sera également présenté. Conçu pour assurer une transmission de couple fiable, le WG50 prend en charge un large éventail d'applications d'automatisation et de contrôle de mouvement, aidant les opérateurs à améliorer le temps de fonctionnement tout en réduisant les besoins de maintenance.</w:t>
      </w:r>
    </w:p>
    <w:p w14:paraId="08B627E8" w14:textId="77777777" w:rsidR="006A424A" w:rsidRPr="00CA7747" w:rsidRDefault="006A424A" w:rsidP="006A424A">
      <w:pPr>
        <w:spacing w:line="480" w:lineRule="auto"/>
        <w:jc w:val="both"/>
        <w:rPr>
          <w:rFonts w:cs="Arial"/>
          <w:lang w:val="fr-BE"/>
        </w:rPr>
      </w:pPr>
    </w:p>
    <w:p w14:paraId="7BBCA86F" w14:textId="77777777" w:rsidR="00AA7054" w:rsidRPr="00CA7747" w:rsidRDefault="00AA7054" w:rsidP="006A424A">
      <w:pPr>
        <w:spacing w:line="480" w:lineRule="auto"/>
        <w:jc w:val="both"/>
        <w:rPr>
          <w:rFonts w:cs="Arial"/>
          <w:lang w:val="fr-BE"/>
        </w:rPr>
      </w:pPr>
      <w:r w:rsidRPr="00CA7747">
        <w:rPr>
          <w:rFonts w:cs="Arial"/>
          <w:lang w:val="fr-BE"/>
        </w:rPr>
        <w:t xml:space="preserve">En complément, le moteur-frein Cemp offre des performances de freinage intégrées pour les applications critiques en matière de sécurité et exigeant une grande précision. Conçu pour être utilisé dans des environnements dangereux, il est disponible en versions antidéflagrante (Ex </w:t>
      </w:r>
      <w:proofErr w:type="spellStart"/>
      <w:r w:rsidRPr="00CA7747">
        <w:rPr>
          <w:rFonts w:cs="Arial"/>
          <w:lang w:val="fr-BE"/>
        </w:rPr>
        <w:t>db</w:t>
      </w:r>
      <w:proofErr w:type="spellEnd"/>
      <w:r w:rsidRPr="00CA7747">
        <w:rPr>
          <w:rFonts w:cs="Arial"/>
          <w:lang w:val="fr-BE"/>
        </w:rPr>
        <w:t>) et anti-inflammable (</w:t>
      </w:r>
      <w:proofErr w:type="gramStart"/>
      <w:r w:rsidRPr="00CA7747">
        <w:rPr>
          <w:rFonts w:cs="Arial"/>
          <w:lang w:val="fr-BE"/>
        </w:rPr>
        <w:t>Ex tb</w:t>
      </w:r>
      <w:proofErr w:type="gramEnd"/>
      <w:r w:rsidRPr="00CA7747">
        <w:rPr>
          <w:rFonts w:cs="Arial"/>
          <w:lang w:val="fr-BE"/>
        </w:rPr>
        <w:t xml:space="preserve">), certifiées conformes aux normes ATEX et </w:t>
      </w:r>
      <w:proofErr w:type="spellStart"/>
      <w:r w:rsidRPr="00CA7747">
        <w:rPr>
          <w:rFonts w:cs="Arial"/>
          <w:lang w:val="fr-BE"/>
        </w:rPr>
        <w:t>IECEx</w:t>
      </w:r>
      <w:proofErr w:type="spellEnd"/>
      <w:r w:rsidRPr="00CA7747">
        <w:rPr>
          <w:rFonts w:cs="Arial"/>
          <w:lang w:val="fr-BE"/>
        </w:rPr>
        <w:t xml:space="preserve">. </w:t>
      </w:r>
    </w:p>
    <w:p w14:paraId="1EF11335" w14:textId="77777777" w:rsidR="00AA7054" w:rsidRPr="00CA7747" w:rsidRDefault="00AA7054" w:rsidP="006A424A">
      <w:pPr>
        <w:spacing w:line="480" w:lineRule="auto"/>
        <w:jc w:val="both"/>
        <w:rPr>
          <w:rFonts w:cs="Arial"/>
          <w:lang w:val="fr-BE"/>
        </w:rPr>
      </w:pPr>
    </w:p>
    <w:p w14:paraId="5370BB54" w14:textId="2A7FA385" w:rsidR="00AD344E" w:rsidRPr="00CA7747" w:rsidRDefault="00AD344E" w:rsidP="006A424A">
      <w:pPr>
        <w:spacing w:line="480" w:lineRule="auto"/>
        <w:jc w:val="both"/>
        <w:rPr>
          <w:rFonts w:cs="Arial"/>
          <w:lang w:val="fr-BE"/>
        </w:rPr>
      </w:pPr>
      <w:r w:rsidRPr="00CA7747">
        <w:rPr>
          <w:rFonts w:cs="Arial"/>
          <w:lang w:val="fr-BE"/>
        </w:rPr>
        <w:t xml:space="preserve">Le moteur-frein est conçu pour assurer un arrêt contrôlé et un maintien sûr, garantissant ainsi la sécurité et la précision opérationnelles dans tous </w:t>
      </w:r>
      <w:r w:rsidR="00DD6BB4" w:rsidRPr="00DD6BB4">
        <w:rPr>
          <w:rFonts w:cs="Arial"/>
        </w:rPr>
        <w:t xml:space="preserve">les processus </w:t>
      </w:r>
      <w:proofErr w:type="spellStart"/>
      <w:r w:rsidR="00DD6BB4" w:rsidRPr="00DD6BB4">
        <w:rPr>
          <w:rFonts w:cs="Arial"/>
        </w:rPr>
        <w:t>automatisés</w:t>
      </w:r>
      <w:proofErr w:type="spellEnd"/>
      <w:r w:rsidR="00DD6BB4" w:rsidRPr="00DD6BB4">
        <w:rPr>
          <w:rFonts w:cs="Arial"/>
        </w:rPr>
        <w:t xml:space="preserve"> et les applications de </w:t>
      </w:r>
      <w:proofErr w:type="spellStart"/>
      <w:r w:rsidR="00DD6BB4" w:rsidRPr="00DD6BB4">
        <w:rPr>
          <w:rFonts w:cs="Arial"/>
        </w:rPr>
        <w:t>levage</w:t>
      </w:r>
      <w:proofErr w:type="spellEnd"/>
      <w:r w:rsidRPr="00CA7747">
        <w:rPr>
          <w:rFonts w:cs="Arial"/>
          <w:lang w:val="fr-BE"/>
        </w:rPr>
        <w:t xml:space="preserve">. Il est disponible dans des tailles de châssis allant de 80 à 250, et jusqu'à 315 dans les classes de moteurs standard et à haut rendement IE1 et IE2, avec des options de couple de freinage et des types de service adaptés aux besoins de l'application. La gamme Cemp couvre des puissances nominales de 0,75 à 200 </w:t>
      </w:r>
      <w:r w:rsidR="00CB4813" w:rsidRPr="00CA7747">
        <w:rPr>
          <w:rFonts w:cs="Arial"/>
          <w:lang w:val="fr-BE"/>
        </w:rPr>
        <w:t>kilowatts (</w:t>
      </w:r>
      <w:r w:rsidRPr="00CA7747">
        <w:rPr>
          <w:rFonts w:cs="Arial"/>
          <w:lang w:val="fr-BE"/>
        </w:rPr>
        <w:t>kW</w:t>
      </w:r>
      <w:r w:rsidR="00CB4813" w:rsidRPr="00CA7747">
        <w:rPr>
          <w:rFonts w:cs="Arial"/>
          <w:lang w:val="fr-BE"/>
        </w:rPr>
        <w:t>)</w:t>
      </w:r>
      <w:r w:rsidRPr="00CA7747">
        <w:rPr>
          <w:rFonts w:cs="Arial"/>
          <w:lang w:val="fr-BE"/>
        </w:rPr>
        <w:t>. Les classes d'efficacité s'étendent jusqu'à l'efficacité super premium IE4, ce qui représente une avancée majeure par rapport aux classes IE1 et IE2.</w:t>
      </w:r>
    </w:p>
    <w:p w14:paraId="5EC1A1BC" w14:textId="77777777" w:rsidR="006A424A" w:rsidRPr="00CA7747" w:rsidRDefault="006A424A" w:rsidP="006A424A">
      <w:pPr>
        <w:spacing w:line="480" w:lineRule="auto"/>
        <w:jc w:val="both"/>
        <w:rPr>
          <w:rFonts w:cs="Arial"/>
          <w:lang w:val="fr-BE"/>
        </w:rPr>
      </w:pPr>
    </w:p>
    <w:p w14:paraId="7865D30A" w14:textId="7CFC95B2" w:rsidR="00AA7054" w:rsidRPr="00CA7747" w:rsidRDefault="00AA7054" w:rsidP="006A424A">
      <w:pPr>
        <w:spacing w:line="480" w:lineRule="auto"/>
        <w:jc w:val="both"/>
        <w:rPr>
          <w:rFonts w:cs="Arial"/>
          <w:b/>
          <w:bCs/>
          <w:lang w:val="fr-BE"/>
        </w:rPr>
      </w:pPr>
      <w:r w:rsidRPr="00CA7747">
        <w:rPr>
          <w:rFonts w:cs="Arial"/>
          <w:b/>
          <w:bCs/>
          <w:lang w:val="fr-BE"/>
        </w:rPr>
        <w:t>Moteurs à haut rendement et solutions compactes à engrenages</w:t>
      </w:r>
    </w:p>
    <w:p w14:paraId="59FB6B8D" w14:textId="3221CE55" w:rsidR="006A424A" w:rsidRPr="00DD6BB4" w:rsidRDefault="006A424A" w:rsidP="006A424A">
      <w:pPr>
        <w:spacing w:line="480" w:lineRule="auto"/>
        <w:jc w:val="both"/>
        <w:rPr>
          <w:rFonts w:cs="Arial"/>
          <w:lang w:val="en-US"/>
        </w:rPr>
      </w:pPr>
      <w:r w:rsidRPr="00CA7747">
        <w:rPr>
          <w:rFonts w:cs="Arial"/>
          <w:lang w:val="fr-BE"/>
        </w:rPr>
        <w:t xml:space="preserve">En plus des expositions physiques, WEG mettra également en avant sa </w:t>
      </w:r>
      <w:hyperlink r:id="rId14" w:history="1">
        <w:r w:rsidRPr="00CA7747">
          <w:rPr>
            <w:rStyle w:val="Hyperlink"/>
            <w:rFonts w:cs="Arial"/>
            <w:lang w:val="fr-BE"/>
          </w:rPr>
          <w:t xml:space="preserve">série de moteurs W23 </w:t>
        </w:r>
        <w:r w:rsidR="00C477BD" w:rsidRPr="00CA7747">
          <w:rPr>
            <w:rStyle w:val="Hyperlink"/>
            <w:rFonts w:cs="Arial"/>
            <w:lang w:val="fr-BE"/>
          </w:rPr>
          <w:t>Sync+</w:t>
        </w:r>
      </w:hyperlink>
      <w:r w:rsidRPr="00CA7747">
        <w:rPr>
          <w:rFonts w:cs="Arial"/>
          <w:lang w:val="fr-BE"/>
        </w:rPr>
        <w:t xml:space="preserve"> et </w:t>
      </w:r>
      <w:hyperlink r:id="rId15" w:history="1">
        <w:r w:rsidRPr="00CA7747">
          <w:rPr>
            <w:rStyle w:val="Hyperlink"/>
            <w:rFonts w:cs="Arial"/>
            <w:lang w:val="fr-BE"/>
          </w:rPr>
          <w:t>ses réducteurs WG20</w:t>
        </w:r>
      </w:hyperlink>
      <w:r w:rsidRPr="00CA7747">
        <w:rPr>
          <w:rFonts w:cs="Arial"/>
          <w:lang w:val="fr-BE"/>
        </w:rPr>
        <w:t xml:space="preserve"> à l'aide de panneaux graphiques sur son stand. Bien que ces produits ne </w:t>
      </w:r>
      <w:proofErr w:type="gramStart"/>
      <w:r w:rsidRPr="00CA7747">
        <w:rPr>
          <w:rFonts w:cs="Arial"/>
          <w:lang w:val="fr-BE"/>
        </w:rPr>
        <w:t>feront</w:t>
      </w:r>
      <w:proofErr w:type="gramEnd"/>
      <w:r w:rsidRPr="00CA7747">
        <w:rPr>
          <w:rFonts w:cs="Arial"/>
          <w:lang w:val="fr-BE"/>
        </w:rPr>
        <w:t xml:space="preserve"> pas l'objet d'une démonstration </w:t>
      </w:r>
      <w:r w:rsidR="00DD6BB4" w:rsidRPr="00DD6BB4">
        <w:rPr>
          <w:rFonts w:cs="Arial"/>
          <w:lang w:val="en-US"/>
        </w:rPr>
        <w:t>en direct,</w:t>
      </w:r>
      <w:r w:rsidR="00DD6BB4">
        <w:rPr>
          <w:rFonts w:cs="Arial"/>
          <w:lang w:val="en-US"/>
        </w:rPr>
        <w:t xml:space="preserve"> </w:t>
      </w:r>
      <w:r w:rsidRPr="00CA7747">
        <w:rPr>
          <w:rFonts w:cs="Arial"/>
          <w:lang w:val="fr-BE"/>
        </w:rPr>
        <w:t>les présentations permettront aux visiteurs de découvrir la gamme plus large de moteurs à haut rendement et de solutions compactes à engrenages de WEG, conçues pour répondre aux exigences industrielles en constante évolution.</w:t>
      </w:r>
    </w:p>
    <w:p w14:paraId="4C5A1CB9" w14:textId="77777777" w:rsidR="006A424A" w:rsidRPr="00CA7747" w:rsidRDefault="006A424A" w:rsidP="006A424A">
      <w:pPr>
        <w:spacing w:line="480" w:lineRule="auto"/>
        <w:jc w:val="both"/>
        <w:rPr>
          <w:rFonts w:cs="Arial"/>
          <w:lang w:val="fr-BE"/>
        </w:rPr>
      </w:pPr>
    </w:p>
    <w:p w14:paraId="1D59EC0C" w14:textId="6293EF3F" w:rsidR="006A424A" w:rsidRPr="00CA7747" w:rsidRDefault="006A424A" w:rsidP="006A424A">
      <w:pPr>
        <w:spacing w:line="480" w:lineRule="auto"/>
        <w:jc w:val="both"/>
        <w:rPr>
          <w:rFonts w:cs="Arial"/>
          <w:lang w:val="fr-BE"/>
        </w:rPr>
      </w:pPr>
      <w:r w:rsidRPr="00CA7747">
        <w:rPr>
          <w:rFonts w:cs="Arial"/>
          <w:lang w:val="fr-BE"/>
        </w:rPr>
        <w:t xml:space="preserve">« Indumation est une plateforme importante pour échanger avec les professionnels de l'automatisation et montrer comment nos technologies contribuent à améliorer l'efficacité et la fiabilité dans les usines », a déclaré </w:t>
      </w:r>
      <w:r w:rsidR="006626DE" w:rsidRPr="00CA7747">
        <w:rPr>
          <w:rFonts w:cs="Arial"/>
          <w:lang w:val="fr-BE"/>
        </w:rPr>
        <w:t>Werner Lievens, directeur général de WEG Benelux</w:t>
      </w:r>
      <w:r w:rsidRPr="00CA7747">
        <w:rPr>
          <w:rFonts w:cs="Arial"/>
          <w:lang w:val="fr-BE"/>
        </w:rPr>
        <w:t>. « Des moteurs compacts à flux axial aux solutions de freinage intégrées, notre gamme est conçue pour soutenir des opérations industrielles plus intelligentes et plus efficaces. »</w:t>
      </w:r>
    </w:p>
    <w:p w14:paraId="432969ED" w14:textId="77777777" w:rsidR="006A424A" w:rsidRPr="00CA7747" w:rsidRDefault="006A424A" w:rsidP="006A424A">
      <w:pPr>
        <w:spacing w:line="480" w:lineRule="auto"/>
        <w:jc w:val="both"/>
        <w:rPr>
          <w:rFonts w:cs="Arial"/>
          <w:lang w:val="fr-BE"/>
        </w:rPr>
      </w:pPr>
    </w:p>
    <w:p w14:paraId="1DC14A73" w14:textId="77777777" w:rsidR="006A424A" w:rsidRPr="00CA7747" w:rsidRDefault="006A424A" w:rsidP="006A424A">
      <w:pPr>
        <w:spacing w:line="480" w:lineRule="auto"/>
        <w:jc w:val="both"/>
        <w:rPr>
          <w:rFonts w:cs="Arial"/>
          <w:lang w:val="fr-BE"/>
        </w:rPr>
      </w:pPr>
      <w:r w:rsidRPr="00CA7747">
        <w:rPr>
          <w:rFonts w:cs="Arial"/>
          <w:lang w:val="fr-BE"/>
        </w:rPr>
        <w:t>L'équipe de WEG sera disponible tout au long du salon pour discuter des applications, de l'intégration des systèmes et de la manière dont ses technologies de moteurs et de réducteurs peuvent être adaptées à des défis spécifiques en matière d'automatisation.</w:t>
      </w:r>
    </w:p>
    <w:p w14:paraId="64645F4B" w14:textId="77777777" w:rsidR="006C5A03" w:rsidRPr="00CA7747" w:rsidRDefault="006C5A03" w:rsidP="0046686D">
      <w:pPr>
        <w:spacing w:line="480" w:lineRule="auto"/>
        <w:jc w:val="both"/>
        <w:rPr>
          <w:rFonts w:cs="Arial"/>
          <w:lang w:val="fr-BE"/>
        </w:rPr>
      </w:pPr>
    </w:p>
    <w:p w14:paraId="1885305F" w14:textId="31BE3BFD" w:rsidR="00F72DC9" w:rsidRPr="00CA7747" w:rsidRDefault="00F72DC9" w:rsidP="0046686D">
      <w:pPr>
        <w:spacing w:line="480" w:lineRule="auto"/>
        <w:jc w:val="both"/>
        <w:rPr>
          <w:rFonts w:cs="Arial"/>
          <w:i/>
          <w:iCs/>
          <w:lang w:val="fr-BE"/>
        </w:rPr>
      </w:pPr>
      <w:r w:rsidRPr="00CA7747">
        <w:rPr>
          <w:rFonts w:cs="Arial"/>
          <w:i/>
          <w:iCs/>
          <w:lang w:val="fr-BE"/>
        </w:rPr>
        <w:t xml:space="preserve">WEG présentera son portefeuille de </w:t>
      </w:r>
      <w:hyperlink r:id="rId16" w:history="1">
        <w:r w:rsidRPr="00CA7747">
          <w:rPr>
            <w:rStyle w:val="Hyperlink"/>
            <w:rFonts w:cs="Arial"/>
            <w:i/>
            <w:iCs/>
            <w:lang w:val="fr-BE"/>
          </w:rPr>
          <w:t>solutions</w:t>
        </w:r>
      </w:hyperlink>
      <w:r w:rsidRPr="00CA7747">
        <w:rPr>
          <w:rFonts w:cs="Arial"/>
          <w:i/>
          <w:iCs/>
          <w:lang w:val="fr-BE"/>
        </w:rPr>
        <w:t xml:space="preserve"> électromécaniques, </w:t>
      </w:r>
      <w:hyperlink r:id="rId17" w:history="1">
        <w:r w:rsidRPr="00CA7747">
          <w:rPr>
            <w:rStyle w:val="Hyperlink"/>
            <w:rFonts w:cs="Arial"/>
            <w:i/>
            <w:iCs/>
            <w:lang w:val="fr-BE"/>
          </w:rPr>
          <w:t>électriques et mécaniques à engrenages</w:t>
        </w:r>
      </w:hyperlink>
      <w:r w:rsidRPr="00CA7747">
        <w:rPr>
          <w:rFonts w:cs="Arial"/>
          <w:i/>
          <w:iCs/>
          <w:lang w:val="fr-BE"/>
        </w:rPr>
        <w:t xml:space="preserve">, ainsi que ses capacités en matière d'entraînements, </w:t>
      </w:r>
      <w:r w:rsidRPr="00CA7747">
        <w:rPr>
          <w:rFonts w:cs="Arial"/>
          <w:i/>
          <w:iCs/>
          <w:lang w:val="fr-BE"/>
        </w:rPr>
        <w:lastRenderedPageBreak/>
        <w:t>d'automatisation, de logiciels et de services, au stand 119 lors du salon Indumation 2026, à Courtrai, en Belgique</w:t>
      </w:r>
      <w:r w:rsidR="006F4F17" w:rsidRPr="00CA7747">
        <w:rPr>
          <w:rFonts w:cs="Arial"/>
          <w:i/>
          <w:iCs/>
          <w:lang w:val="fr-BE"/>
        </w:rPr>
        <w:t xml:space="preserve">. </w:t>
      </w:r>
      <w:r w:rsidR="00B80A25" w:rsidRPr="00CA7747">
        <w:rPr>
          <w:rFonts w:cs="Arial"/>
          <w:i/>
          <w:iCs/>
          <w:lang w:val="fr-BE"/>
        </w:rPr>
        <w:t>Visitez son site web pour en savoir plus.</w:t>
      </w:r>
    </w:p>
    <w:p w14:paraId="5B6C3C91" w14:textId="77777777" w:rsidR="00F72DC9" w:rsidRPr="00CA7747" w:rsidRDefault="00F72DC9" w:rsidP="0046686D">
      <w:pPr>
        <w:spacing w:line="480" w:lineRule="auto"/>
        <w:jc w:val="both"/>
        <w:rPr>
          <w:rFonts w:cs="Arial"/>
          <w:lang w:val="fr-BE"/>
        </w:rPr>
      </w:pPr>
    </w:p>
    <w:p w14:paraId="4CBE8FBC" w14:textId="0930EB57" w:rsidR="00CC41A0" w:rsidRPr="00CC41A0" w:rsidRDefault="00E03D45" w:rsidP="00A660B1">
      <w:pPr>
        <w:rPr>
          <w:rFonts w:eastAsia="MS Mincho" w:cs="Arial"/>
          <w:lang w:val="fr-BE"/>
        </w:rPr>
      </w:pPr>
      <w:r w:rsidRPr="00CA7747">
        <w:rPr>
          <w:rFonts w:eastAsia="MS Mincho" w:cs="Arial"/>
          <w:b/>
          <w:bCs/>
          <w:color w:val="4472C4" w:themeColor="accent1"/>
          <w:lang w:val="fr-BE"/>
        </w:rPr>
        <w:t>Fin :</w:t>
      </w:r>
      <w:r w:rsidR="60224432" w:rsidRPr="00CA7747">
        <w:rPr>
          <w:rFonts w:eastAsia="MS Mincho" w:cs="Arial"/>
          <w:lang w:val="fr-BE"/>
        </w:rPr>
        <w:t xml:space="preserve"> 473 </w:t>
      </w:r>
      <w:r w:rsidRPr="00CA7747">
        <w:rPr>
          <w:rFonts w:eastAsia="MS Mincho" w:cs="Arial"/>
          <w:lang w:val="fr-BE"/>
        </w:rPr>
        <w:t>mots</w:t>
      </w:r>
    </w:p>
    <w:p w14:paraId="1D4BF4CD" w14:textId="77777777" w:rsidR="00257245" w:rsidRPr="00CA7747" w:rsidRDefault="00257245" w:rsidP="00A660B1">
      <w:pPr>
        <w:rPr>
          <w:rFonts w:eastAsia="MS Mincho"/>
          <w:lang w:val="fr-BE"/>
        </w:rPr>
      </w:pPr>
    </w:p>
    <w:p w14:paraId="5D2DCB57" w14:textId="77777777" w:rsidR="00E03D45" w:rsidRPr="00CA7747" w:rsidRDefault="00E03D45" w:rsidP="00A660B1">
      <w:pPr>
        <w:rPr>
          <w:lang w:val="fr-BE"/>
        </w:rPr>
      </w:pPr>
      <w:r w:rsidRPr="00CA7747">
        <w:rPr>
          <w:rFonts w:eastAsia="MS Mincho"/>
          <w:b/>
          <w:bCs/>
          <w:color w:val="4472C4"/>
          <w:lang w:val="fr-BE"/>
        </w:rPr>
        <w:t xml:space="preserve">Note de la rédaction : </w:t>
      </w:r>
      <w:r w:rsidRPr="00CA7747">
        <w:rPr>
          <w:lang w:val="fr-BE"/>
        </w:rPr>
        <w:t xml:space="preserve">si vous souhaitez vous tenir au courant des communiqués de presse, des contenus axés sur les opinions et des études de cas de </w:t>
      </w:r>
      <w:r w:rsidR="008A6A7A" w:rsidRPr="00CA7747">
        <w:rPr>
          <w:lang w:val="fr-BE"/>
        </w:rPr>
        <w:t>WEG</w:t>
      </w:r>
      <w:r w:rsidRPr="00CA7747">
        <w:rPr>
          <w:lang w:val="fr-BE"/>
        </w:rPr>
        <w:t xml:space="preserve">, rendez-vous </w:t>
      </w:r>
      <w:hyperlink r:id="rId18" w:history="1">
        <w:r w:rsidR="008A6A7A" w:rsidRPr="00CA7747">
          <w:rPr>
            <w:rStyle w:val="Hyperlink"/>
            <w:rFonts w:cs="Arial"/>
            <w:lang w:val="fr-BE"/>
          </w:rPr>
          <w:t>sur https://www.weg.net/institutional/MR/en/all-news/all</w:t>
        </w:r>
      </w:hyperlink>
    </w:p>
    <w:p w14:paraId="5D2DCB58" w14:textId="77777777" w:rsidR="00E03D45" w:rsidRPr="00CA7747" w:rsidRDefault="00E03D45" w:rsidP="00A660B1">
      <w:pPr>
        <w:rPr>
          <w:rFonts w:eastAsia="MS Mincho"/>
          <w:b/>
          <w:bCs/>
          <w:color w:val="00529C"/>
          <w:lang w:val="fr-BE"/>
        </w:rPr>
      </w:pPr>
    </w:p>
    <w:p w14:paraId="259D6186" w14:textId="77777777" w:rsidR="00D738E3" w:rsidRPr="00CA7747" w:rsidRDefault="00D738E3" w:rsidP="00A660B1">
      <w:pPr>
        <w:rPr>
          <w:color w:val="000000" w:themeColor="text1"/>
          <w:lang w:val="fr-BE" w:eastAsia="en-GB"/>
        </w:rPr>
      </w:pPr>
      <w:r w:rsidRPr="00CA7747">
        <w:rPr>
          <w:rFonts w:eastAsia="MS Mincho"/>
          <w:b/>
          <w:bCs/>
          <w:color w:val="4472C4" w:themeColor="accent1"/>
          <w:lang w:val="fr-BE"/>
        </w:rPr>
        <w:t xml:space="preserve">Pour plus d'informations, veuillez contacter : </w:t>
      </w:r>
    </w:p>
    <w:p w14:paraId="21B3150B" w14:textId="77777777" w:rsidR="00D738E3" w:rsidRPr="00CA7747" w:rsidRDefault="00D738E3" w:rsidP="00A660B1">
      <w:pPr>
        <w:rPr>
          <w:color w:val="000000" w:themeColor="text1"/>
          <w:lang w:val="fr-BE" w:eastAsia="en-GB"/>
        </w:rPr>
      </w:pPr>
      <w:r w:rsidRPr="00CA7747">
        <w:rPr>
          <w:color w:val="000000" w:themeColor="text1"/>
          <w:lang w:val="fr-BE" w:eastAsia="en-GB"/>
        </w:rPr>
        <w:t xml:space="preserve">Marcio Ematsu, WEG International </w:t>
      </w:r>
      <w:proofErr w:type="spellStart"/>
      <w:r w:rsidRPr="00CA7747">
        <w:rPr>
          <w:color w:val="000000" w:themeColor="text1"/>
          <w:lang w:val="fr-BE" w:eastAsia="en-GB"/>
        </w:rPr>
        <w:t>GmbH</w:t>
      </w:r>
      <w:proofErr w:type="spellEnd"/>
      <w:r w:rsidRPr="00CA7747">
        <w:rPr>
          <w:color w:val="000000" w:themeColor="text1"/>
          <w:lang w:val="fr-BE" w:eastAsia="en-GB"/>
        </w:rPr>
        <w:t xml:space="preserve">, Am Mattenhof 16a, 6010 Kriens, Suisse. </w:t>
      </w:r>
    </w:p>
    <w:p w14:paraId="5D2DCB5B" w14:textId="77777777" w:rsidR="00D738E3" w:rsidRPr="00CA7747" w:rsidRDefault="00D738E3" w:rsidP="00A660B1">
      <w:pPr>
        <w:rPr>
          <w:rFonts w:eastAsia="MS Mincho"/>
          <w:bCs/>
          <w:lang w:val="fr-BE"/>
        </w:rPr>
      </w:pPr>
      <w:proofErr w:type="gramStart"/>
      <w:r w:rsidRPr="00CA7747">
        <w:rPr>
          <w:rFonts w:eastAsia="MS Mincho"/>
          <w:b/>
          <w:color w:val="4472C4"/>
          <w:lang w:val="fr-BE"/>
        </w:rPr>
        <w:t>www</w:t>
      </w:r>
      <w:proofErr w:type="gramEnd"/>
      <w:r w:rsidRPr="00CA7747">
        <w:rPr>
          <w:rFonts w:eastAsia="MS Mincho"/>
          <w:b/>
          <w:color w:val="4472C4"/>
          <w:lang w:val="fr-BE"/>
        </w:rPr>
        <w:t xml:space="preserve"> :</w:t>
      </w:r>
      <w:hyperlink r:id="rId19" w:history="1">
        <w:r w:rsidRPr="00CA7747">
          <w:rPr>
            <w:rStyle w:val="Hyperlink"/>
            <w:rFonts w:cs="Arial"/>
            <w:lang w:val="fr-BE"/>
          </w:rPr>
          <w:t xml:space="preserve"> www.weg.net</w:t>
        </w:r>
      </w:hyperlink>
      <w:r w:rsidRPr="00CA7747">
        <w:rPr>
          <w:bCs/>
          <w:lang w:val="fr-BE"/>
        </w:rPr>
        <w:t xml:space="preserve"> </w:t>
      </w:r>
    </w:p>
    <w:p w14:paraId="6959D219" w14:textId="77777777" w:rsidR="00D738E3" w:rsidRPr="00CA7747" w:rsidRDefault="00D738E3" w:rsidP="00A660B1">
      <w:pPr>
        <w:rPr>
          <w:lang w:val="fr-BE"/>
        </w:rPr>
      </w:pPr>
      <w:proofErr w:type="gramStart"/>
      <w:r w:rsidRPr="00CA7747">
        <w:rPr>
          <w:rFonts w:eastAsia="MS Mincho"/>
          <w:b/>
          <w:bCs/>
          <w:color w:val="4472C4"/>
          <w:lang w:val="fr-BE"/>
        </w:rPr>
        <w:t>E-mail</w:t>
      </w:r>
      <w:proofErr w:type="gramEnd"/>
      <w:r w:rsidRPr="00CA7747">
        <w:rPr>
          <w:rFonts w:eastAsia="MS Mincho"/>
          <w:b/>
          <w:bCs/>
          <w:color w:val="4472C4"/>
          <w:lang w:val="fr-BE"/>
        </w:rPr>
        <w:t xml:space="preserve"> : </w:t>
      </w:r>
      <w:hyperlink r:id="rId20" w:history="1">
        <w:r w:rsidRPr="00CA7747">
          <w:rPr>
            <w:rStyle w:val="Hyperlink"/>
            <w:lang w:val="fr-BE" w:eastAsia="en-GB"/>
          </w:rPr>
          <w:t>info-ch@weg.net</w:t>
        </w:r>
      </w:hyperlink>
    </w:p>
    <w:p w14:paraId="35DE0072" w14:textId="77777777" w:rsidR="00D738E3" w:rsidRPr="00CA7747" w:rsidRDefault="00D738E3" w:rsidP="00A660B1">
      <w:pPr>
        <w:rPr>
          <w:rFonts w:eastAsia="MS Mincho"/>
          <w:color w:val="0C7289"/>
          <w:lang w:val="fr-BE"/>
        </w:rPr>
      </w:pPr>
    </w:p>
    <w:p w14:paraId="20C3D674" w14:textId="1FAD3C3E" w:rsidR="00D738E3" w:rsidRPr="00CA7747" w:rsidRDefault="00D738E3" w:rsidP="00A660B1">
      <w:pPr>
        <w:rPr>
          <w:rFonts w:eastAsia="MS Mincho"/>
          <w:spacing w:val="-3"/>
          <w:lang w:val="fr-BE"/>
        </w:rPr>
      </w:pPr>
      <w:r w:rsidRPr="00CA7747">
        <w:rPr>
          <w:rFonts w:eastAsia="MS Mincho"/>
          <w:b/>
          <w:bCs/>
          <w:color w:val="4472C4"/>
          <w:lang w:val="fr-BE"/>
        </w:rPr>
        <w:t xml:space="preserve">Demandes de renseignements de la presse : </w:t>
      </w:r>
      <w:r w:rsidRPr="00CA7747">
        <w:rPr>
          <w:rFonts w:eastAsia="MS Mincho"/>
          <w:spacing w:val="-3"/>
          <w:lang w:val="fr-BE"/>
        </w:rPr>
        <w:t xml:space="preserve">Stephanie Wood et </w:t>
      </w:r>
      <w:r w:rsidR="00F013F3" w:rsidRPr="00CA7747">
        <w:rPr>
          <w:rFonts w:eastAsia="MS Mincho"/>
          <w:spacing w:val="-3"/>
          <w:lang w:val="fr-BE"/>
        </w:rPr>
        <w:t xml:space="preserve">Alex Manford </w:t>
      </w:r>
      <w:r w:rsidRPr="00CA7747">
        <w:rPr>
          <w:rFonts w:eastAsia="MS Mincho"/>
          <w:spacing w:val="-3"/>
          <w:lang w:val="fr-BE"/>
        </w:rPr>
        <w:t>– Stone Junction Ltd</w:t>
      </w:r>
    </w:p>
    <w:p w14:paraId="5D2DCB5F" w14:textId="77777777" w:rsidR="00D738E3" w:rsidRPr="00E23DAC" w:rsidRDefault="00D738E3" w:rsidP="00A660B1">
      <w:pPr>
        <w:rPr>
          <w:rFonts w:cs="Arial"/>
          <w:color w:val="000000"/>
          <w:lang w:eastAsia="en-GB"/>
        </w:rPr>
      </w:pPr>
      <w:r w:rsidRPr="00B20A0A">
        <w:rPr>
          <w:rFonts w:cs="Arial"/>
          <w:color w:val="000000"/>
          <w:lang w:eastAsia="en-GB"/>
        </w:rPr>
        <w:t xml:space="preserve">Suites 1&amp;2 The Malthouse, Water Street, Stafford, Staffordshire, ST16 1AR </w:t>
      </w:r>
      <w:r w:rsidRPr="008A6A7A">
        <w:rPr>
          <w:rFonts w:eastAsia="MS Mincho"/>
          <w:noProof/>
          <w:lang w:eastAsia="en-GB"/>
        </w:rPr>
        <w:br/>
      </w:r>
      <w:proofErr w:type="spellStart"/>
      <w:proofErr w:type="gramStart"/>
      <w:r w:rsidRPr="00F603CF">
        <w:rPr>
          <w:rFonts w:eastAsia="MS Mincho"/>
          <w:b/>
          <w:bCs/>
          <w:color w:val="4472C4"/>
        </w:rPr>
        <w:t>Téléphone</w:t>
      </w:r>
      <w:proofErr w:type="spellEnd"/>
      <w:r w:rsidRPr="00F603CF">
        <w:rPr>
          <w:rFonts w:eastAsia="MS Mincho"/>
          <w:b/>
          <w:bCs/>
          <w:color w:val="4472C4"/>
        </w:rPr>
        <w:t xml:space="preserve"> :</w:t>
      </w:r>
      <w:proofErr w:type="gramEnd"/>
      <w:r w:rsidRPr="00F603CF">
        <w:rPr>
          <w:rFonts w:eastAsia="MS Mincho"/>
          <w:b/>
          <w:bCs/>
          <w:color w:val="4472C4"/>
        </w:rPr>
        <w:t xml:space="preserve"> </w:t>
      </w:r>
      <w:r w:rsidRPr="008A6A7A">
        <w:rPr>
          <w:rFonts w:eastAsia="MS Mincho"/>
          <w:spacing w:val="-3"/>
        </w:rPr>
        <w:t>+44 (0) 1785 225416</w:t>
      </w:r>
    </w:p>
    <w:p w14:paraId="68C27A19" w14:textId="132462FF" w:rsidR="00D738E3" w:rsidRPr="00CA7747" w:rsidRDefault="00D738E3" w:rsidP="00A660B1">
      <w:pPr>
        <w:rPr>
          <w:rFonts w:eastAsia="MS Mincho"/>
          <w:spacing w:val="-3"/>
          <w:lang w:val="fr-BE"/>
        </w:rPr>
      </w:pPr>
      <w:proofErr w:type="gramStart"/>
      <w:r w:rsidRPr="00CA7747">
        <w:rPr>
          <w:rFonts w:eastAsia="MS Mincho"/>
          <w:b/>
          <w:bCs/>
          <w:color w:val="4472C4"/>
          <w:lang w:val="fr-BE"/>
        </w:rPr>
        <w:t>E-mail</w:t>
      </w:r>
      <w:proofErr w:type="gramEnd"/>
      <w:r w:rsidRPr="00CA7747">
        <w:rPr>
          <w:rFonts w:eastAsia="MS Mincho"/>
          <w:b/>
          <w:bCs/>
          <w:color w:val="4472C4"/>
          <w:lang w:val="fr-BE"/>
        </w:rPr>
        <w:t xml:space="preserve"> :</w:t>
      </w:r>
      <w:hyperlink r:id="rId21" w:history="1">
        <w:r w:rsidRPr="00CA7747">
          <w:rPr>
            <w:rStyle w:val="Hyperlink"/>
            <w:rFonts w:eastAsia="MS Mincho"/>
            <w:spacing w:val="-3"/>
            <w:lang w:val="fr-BE"/>
          </w:rPr>
          <w:t>stephanie@stonejunction.co.uk</w:t>
        </w:r>
      </w:hyperlink>
      <w:r w:rsidRPr="00CA7747">
        <w:rPr>
          <w:rFonts w:eastAsia="MS Mincho"/>
          <w:spacing w:val="-3"/>
          <w:lang w:val="fr-BE"/>
        </w:rPr>
        <w:t xml:space="preserve"> ou</w:t>
      </w:r>
      <w:hyperlink r:id="rId22" w:history="1">
        <w:r w:rsidR="004E6D19" w:rsidRPr="00CA7747">
          <w:rPr>
            <w:rStyle w:val="Hyperlink"/>
            <w:rFonts w:eastAsia="MS Mincho"/>
            <w:spacing w:val="-3"/>
            <w:lang w:val="fr-BE"/>
          </w:rPr>
          <w:t xml:space="preserve"> alexm@stonejunction.co.uk</w:t>
        </w:r>
      </w:hyperlink>
      <w:r w:rsidR="004E6D19" w:rsidRPr="00CA7747">
        <w:rPr>
          <w:rFonts w:eastAsia="MS Mincho"/>
          <w:spacing w:val="-3"/>
          <w:lang w:val="fr-BE"/>
        </w:rPr>
        <w:t xml:space="preserve"> </w:t>
      </w:r>
    </w:p>
    <w:p w14:paraId="5D2DCB61" w14:textId="77777777" w:rsidR="00D738E3" w:rsidRPr="00CA7747" w:rsidRDefault="00D738E3" w:rsidP="00A660B1">
      <w:pPr>
        <w:rPr>
          <w:rFonts w:eastAsia="MS Mincho"/>
          <w:spacing w:val="-3"/>
        </w:rPr>
      </w:pPr>
      <w:r w:rsidRPr="00CA7747">
        <w:rPr>
          <w:rFonts w:eastAsia="MS Mincho"/>
          <w:b/>
          <w:bCs/>
          <w:color w:val="4472C4"/>
        </w:rPr>
        <w:t xml:space="preserve">Site </w:t>
      </w:r>
      <w:proofErr w:type="gramStart"/>
      <w:r w:rsidRPr="00CA7747">
        <w:rPr>
          <w:rFonts w:eastAsia="MS Mincho"/>
          <w:b/>
          <w:bCs/>
          <w:color w:val="4472C4"/>
        </w:rPr>
        <w:t>web :</w:t>
      </w:r>
      <w:proofErr w:type="gramEnd"/>
      <w:r>
        <w:fldChar w:fldCharType="begin"/>
      </w:r>
      <w:r>
        <w:instrText>HYPERLINK "http://www.stonejunction.co.uk/"</w:instrText>
      </w:r>
      <w:r>
        <w:fldChar w:fldCharType="separate"/>
      </w:r>
      <w:r w:rsidRPr="00CA7747">
        <w:rPr>
          <w:rStyle w:val="Hyperlink"/>
          <w:rFonts w:eastAsia="MS Mincho" w:cs="Arial"/>
          <w:spacing w:val="-3"/>
        </w:rPr>
        <w:t xml:space="preserve"> www.stonejunction.co.uk</w:t>
      </w:r>
      <w:r>
        <w:fldChar w:fldCharType="end"/>
      </w:r>
      <w:r w:rsidRPr="00CA7747">
        <w:rPr>
          <w:rFonts w:eastAsia="MS Mincho"/>
          <w:spacing w:val="-3"/>
        </w:rPr>
        <w:t xml:space="preserve">  </w:t>
      </w:r>
    </w:p>
    <w:p w14:paraId="5D2DCB63" w14:textId="77777777" w:rsidR="00D738E3" w:rsidRPr="00CA7747" w:rsidRDefault="00D738E3" w:rsidP="00A660B1">
      <w:pPr>
        <w:rPr>
          <w:rFonts w:eastAsia="MS Mincho"/>
          <w:bCs/>
          <w:color w:val="002060"/>
          <w:spacing w:val="-3"/>
        </w:rPr>
      </w:pPr>
      <w:proofErr w:type="gramStart"/>
      <w:r w:rsidRPr="00CA7747">
        <w:rPr>
          <w:rFonts w:eastAsia="MS Mincho"/>
          <w:b/>
          <w:bCs/>
          <w:color w:val="4472C4"/>
        </w:rPr>
        <w:t>Twitter :</w:t>
      </w:r>
      <w:proofErr w:type="gramEnd"/>
      <w:r w:rsidRPr="00CA7747">
        <w:rPr>
          <w:rFonts w:eastAsia="MS Mincho"/>
          <w:b/>
          <w:bCs/>
          <w:color w:val="00529C"/>
          <w:spacing w:val="-3"/>
        </w:rPr>
        <w:t xml:space="preserve"> </w:t>
      </w:r>
      <w:hyperlink r:id="rId23" w:history="1">
        <w:r w:rsidRPr="00CA7747">
          <w:rPr>
            <w:rStyle w:val="Hyperlink"/>
            <w:rFonts w:eastAsia="MS Mincho" w:cs="Arial"/>
            <w:bCs/>
            <w:spacing w:val="-3"/>
          </w:rPr>
          <w:t>www.twitter.com/StoneJunctionPR</w:t>
        </w:r>
      </w:hyperlink>
    </w:p>
    <w:p w14:paraId="5D2DCB64" w14:textId="77777777" w:rsidR="00D738E3" w:rsidRPr="00CA7747" w:rsidRDefault="00D738E3" w:rsidP="00A660B1">
      <w:pPr>
        <w:rPr>
          <w:rFonts w:eastAsia="MS Mincho"/>
          <w:bCs/>
          <w:color w:val="002060"/>
          <w:spacing w:val="-3"/>
        </w:rPr>
      </w:pPr>
      <w:proofErr w:type="gramStart"/>
      <w:r w:rsidRPr="00CA7747">
        <w:rPr>
          <w:rFonts w:eastAsia="MS Mincho"/>
          <w:b/>
          <w:bCs/>
          <w:color w:val="4472C4"/>
        </w:rPr>
        <w:t xml:space="preserve">Facebook </w:t>
      </w:r>
      <w:r w:rsidRPr="00CA7747">
        <w:rPr>
          <w:rFonts w:eastAsia="MS Mincho"/>
          <w:b/>
          <w:bCs/>
          <w:color w:val="4472C4"/>
          <w:spacing w:val="-3"/>
        </w:rPr>
        <w:t>:</w:t>
      </w:r>
      <w:proofErr w:type="gramEnd"/>
      <w:r>
        <w:fldChar w:fldCharType="begin"/>
      </w:r>
      <w:r>
        <w:instrText>HYPERLINK "http://www.facebook.com/technicalPR"</w:instrText>
      </w:r>
      <w:r>
        <w:fldChar w:fldCharType="separate"/>
      </w:r>
      <w:r w:rsidRPr="00CA7747">
        <w:rPr>
          <w:rStyle w:val="Hyperlink"/>
          <w:rFonts w:eastAsia="MS Mincho" w:cs="Arial"/>
        </w:rPr>
        <w:t xml:space="preserve"> http://www.facebook.com/technicalPR</w:t>
      </w:r>
      <w:r>
        <w:fldChar w:fldCharType="end"/>
      </w:r>
    </w:p>
    <w:p w14:paraId="5D2DCB65" w14:textId="77777777" w:rsidR="00D738E3" w:rsidRPr="00CA7747" w:rsidRDefault="00D738E3" w:rsidP="00A660B1">
      <w:pPr>
        <w:rPr>
          <w:rFonts w:eastAsia="MS Mincho"/>
          <w:b/>
          <w:bCs/>
          <w:color w:val="002060"/>
          <w:spacing w:val="-3"/>
        </w:rPr>
      </w:pPr>
      <w:proofErr w:type="gramStart"/>
      <w:r w:rsidRPr="00CA7747">
        <w:rPr>
          <w:rFonts w:eastAsia="MS Mincho"/>
          <w:b/>
          <w:bCs/>
          <w:color w:val="4472C4"/>
        </w:rPr>
        <w:t>LinkedIn :</w:t>
      </w:r>
      <w:proofErr w:type="gramEnd"/>
      <w:hyperlink r:id="rId24" w:history="1">
        <w:r w:rsidRPr="00CA7747">
          <w:rPr>
            <w:rStyle w:val="Hyperlink"/>
            <w:rFonts w:eastAsia="MS Mincho" w:cs="Arial"/>
          </w:rPr>
          <w:t xml:space="preserve"> https://www.linkedin.com/company/stone-junction-ltd</w:t>
        </w:r>
      </w:hyperlink>
    </w:p>
    <w:p w14:paraId="5D2DCB66" w14:textId="77777777" w:rsidR="00E03D45" w:rsidRPr="00CA7747" w:rsidRDefault="00E03D45" w:rsidP="00A660B1">
      <w:pPr>
        <w:rPr>
          <w:rFonts w:eastAsia="MS Mincho"/>
          <w:b/>
          <w:bCs/>
          <w:color w:val="439639"/>
        </w:rPr>
      </w:pPr>
    </w:p>
    <w:p w14:paraId="4845805F" w14:textId="01061BA0" w:rsidR="007E1C8F" w:rsidRPr="00CA7747" w:rsidRDefault="00382C38" w:rsidP="00A660B1">
      <w:pPr>
        <w:pStyle w:val="NormalWeb"/>
        <w:jc w:val="both"/>
        <w:rPr>
          <w:rFonts w:ascii="Arial" w:hAnsi="Arial" w:cs="Arial"/>
          <w:lang w:val="fr-BE"/>
        </w:rPr>
      </w:pPr>
      <w:r w:rsidRPr="00CA7747">
        <w:rPr>
          <w:rFonts w:ascii="Arial" w:eastAsia="MS Mincho" w:hAnsi="Arial" w:cs="Arial"/>
          <w:b/>
          <w:bCs/>
          <w:color w:val="4472C4"/>
          <w:lang w:val="fr-BE"/>
        </w:rPr>
        <w:t xml:space="preserve">À propos de WEG : </w:t>
      </w:r>
      <w:r w:rsidR="00A97965" w:rsidRPr="00CA7747">
        <w:rPr>
          <w:rFonts w:ascii="Arial" w:hAnsi="Arial" w:cs="Arial"/>
          <w:lang w:val="fr-BE"/>
        </w:rPr>
        <w:t xml:space="preserve">Fondée en 1961, WEG est une entreprise mondiale spécialisée dans les équipements électriques et électroniques, opérant principalement dans le secteur des biens d'équipement avec des solutions dans les domaines des machines électriques, de l'automatisation et des peintures pour plusieurs secteurs, notamment les infrastructures, l'acier, la pâte à papier et le papier, le pétrole et le gaz, l'exploitation minière, parmi beaucoup d'autres. </w:t>
      </w:r>
    </w:p>
    <w:p w14:paraId="49E2F23D" w14:textId="04505B45" w:rsidR="007E1C8F" w:rsidRPr="00CA7747" w:rsidRDefault="0992E957" w:rsidP="00A660B1">
      <w:pPr>
        <w:pStyle w:val="NormalWeb"/>
        <w:jc w:val="both"/>
        <w:rPr>
          <w:rFonts w:ascii="Arial" w:hAnsi="Arial" w:cs="Arial"/>
          <w:lang w:val="fr-BE"/>
        </w:rPr>
      </w:pPr>
      <w:r w:rsidRPr="00CA7747">
        <w:rPr>
          <w:rFonts w:ascii="Arial" w:eastAsia="Arial" w:hAnsi="Arial" w:cs="Arial"/>
          <w:color w:val="000000" w:themeColor="text1"/>
          <w:lang w:val="fr-BE"/>
        </w:rPr>
        <w:t xml:space="preserve">WEG se distingue par son innovation en développant constamment des solutions pour répondre aux grandes tendances en matière d'efficacité énergétique, d'énergies renouvelables et de mobilité électrique. Avec des sites de production dans 18 pays et une présence dans plus de 120 pays, l'entreprise compte plus de 47 000 employés dans le monde entier. Le chiffre d'affaires net de WEG a atteint 38 milliards de </w:t>
      </w:r>
      <w:proofErr w:type="spellStart"/>
      <w:r w:rsidRPr="00CA7747">
        <w:rPr>
          <w:rFonts w:ascii="Arial" w:eastAsia="Arial" w:hAnsi="Arial" w:cs="Arial"/>
          <w:color w:val="000000" w:themeColor="text1"/>
          <w:lang w:val="fr-BE"/>
        </w:rPr>
        <w:t>reais</w:t>
      </w:r>
      <w:proofErr w:type="spellEnd"/>
      <w:r w:rsidRPr="00CA7747">
        <w:rPr>
          <w:rFonts w:ascii="Arial" w:eastAsia="Arial" w:hAnsi="Arial" w:cs="Arial"/>
          <w:color w:val="000000" w:themeColor="text1"/>
          <w:lang w:val="fr-BE"/>
        </w:rPr>
        <w:t xml:space="preserve"> en 2024, dont 57 % provenaient des marchés extérieurs. </w:t>
      </w:r>
      <w:r w:rsidR="007E1C8F" w:rsidRPr="00CA7747">
        <w:rPr>
          <w:rFonts w:ascii="Arial" w:hAnsi="Arial" w:cs="Arial"/>
          <w:lang w:val="fr-BE"/>
        </w:rPr>
        <w:t xml:space="preserve">Pour plus d'informations, rendez-vous </w:t>
      </w:r>
      <w:hyperlink r:id="rId25">
        <w:r w:rsidR="007E1C8F" w:rsidRPr="00CA7747">
          <w:rPr>
            <w:rStyle w:val="Hyperlink"/>
            <w:rFonts w:ascii="Arial" w:hAnsi="Arial" w:cs="Arial"/>
            <w:lang w:val="fr-BE"/>
          </w:rPr>
          <w:t>sur www.weg.net</w:t>
        </w:r>
      </w:hyperlink>
    </w:p>
    <w:p w14:paraId="5D2DCB69" w14:textId="77777777" w:rsidR="008A6A7A" w:rsidRPr="00CA7747" w:rsidRDefault="008A6A7A" w:rsidP="00A660B1">
      <w:pPr>
        <w:rPr>
          <w:rFonts w:cs="Arial"/>
          <w:bCs/>
          <w:lang w:val="fr-BE"/>
        </w:rPr>
      </w:pPr>
    </w:p>
    <w:p w14:paraId="5D2DCB6A" w14:textId="31A365C7" w:rsidR="00E03D45" w:rsidRPr="00CA7747" w:rsidRDefault="00E03D45" w:rsidP="00A660B1">
      <w:pPr>
        <w:rPr>
          <w:rFonts w:eastAsia="MS Mincho" w:cs="Arial"/>
          <w:spacing w:val="-3"/>
          <w:lang w:val="fr-BE"/>
        </w:rPr>
      </w:pPr>
      <w:r w:rsidRPr="00CA7747">
        <w:rPr>
          <w:rFonts w:eastAsia="MS Mincho" w:cs="Arial"/>
          <w:b/>
          <w:bCs/>
          <w:color w:val="4472C4"/>
          <w:lang w:val="fr-BE"/>
        </w:rPr>
        <w:t xml:space="preserve">Réf. : </w:t>
      </w:r>
      <w:r w:rsidR="00747B47" w:rsidRPr="00CA7747">
        <w:rPr>
          <w:rFonts w:eastAsia="MS Mincho" w:cs="Arial"/>
          <w:spacing w:val="-3"/>
          <w:lang w:val="fr-BE"/>
        </w:rPr>
        <w:t>WEG1247/01/26</w:t>
      </w:r>
    </w:p>
    <w:p w14:paraId="5D2DCB6B" w14:textId="77777777" w:rsidR="00B86E1F" w:rsidRPr="00CA7747" w:rsidRDefault="00B86E1F" w:rsidP="002B42C0">
      <w:pPr>
        <w:spacing w:line="276" w:lineRule="auto"/>
        <w:rPr>
          <w:rFonts w:eastAsia="MS Mincho" w:cs="Arial"/>
          <w:b/>
          <w:color w:val="CC3300"/>
          <w:spacing w:val="-3"/>
          <w:lang w:val="fr-BE"/>
        </w:rPr>
      </w:pPr>
    </w:p>
    <w:sectPr w:rsidR="00B86E1F" w:rsidRPr="00CA7747" w:rsidSect="006D0EBA">
      <w:headerReference w:type="default" r:id="rId26"/>
      <w:footerReference w:type="default" r:id="rId27"/>
      <w:headerReference w:type="first" r:id="rId28"/>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1066CA" w14:textId="77777777" w:rsidR="00314BA3" w:rsidRDefault="00314BA3" w:rsidP="00C0175F">
      <w:r>
        <w:separator/>
      </w:r>
    </w:p>
  </w:endnote>
  <w:endnote w:type="continuationSeparator" w:id="0">
    <w:p w14:paraId="620CF47D" w14:textId="77777777" w:rsidR="00314BA3" w:rsidRDefault="00314BA3" w:rsidP="00C0175F">
      <w:r>
        <w:continuationSeparator/>
      </w:r>
    </w:p>
  </w:endnote>
  <w:endnote w:type="continuationNotice" w:id="1">
    <w:p w14:paraId="4058C2C4" w14:textId="77777777" w:rsidR="00314BA3" w:rsidRDefault="00314BA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C68470" w14:textId="77777777" w:rsidR="00DD1F29" w:rsidRDefault="00DD1F2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7311D5" w14:textId="77777777" w:rsidR="00314BA3" w:rsidRDefault="00314BA3" w:rsidP="00C0175F">
      <w:r>
        <w:separator/>
      </w:r>
    </w:p>
  </w:footnote>
  <w:footnote w:type="continuationSeparator" w:id="0">
    <w:p w14:paraId="6A4AEB31" w14:textId="77777777" w:rsidR="00314BA3" w:rsidRDefault="00314BA3" w:rsidP="00C0175F">
      <w:r>
        <w:continuationSeparator/>
      </w:r>
    </w:p>
  </w:footnote>
  <w:footnote w:type="continuationNotice" w:id="1">
    <w:p w14:paraId="0E0F2758" w14:textId="77777777" w:rsidR="00314BA3" w:rsidRDefault="00314BA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449243" w14:textId="77777777" w:rsidR="00DD1F29" w:rsidRDefault="00DD1F2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13B43"/>
    <w:rsid w:val="00024007"/>
    <w:rsid w:val="000245BC"/>
    <w:rsid w:val="00027D32"/>
    <w:rsid w:val="000424D6"/>
    <w:rsid w:val="000446CF"/>
    <w:rsid w:val="00045BF8"/>
    <w:rsid w:val="0005012E"/>
    <w:rsid w:val="000632A5"/>
    <w:rsid w:val="000649C8"/>
    <w:rsid w:val="00066A1B"/>
    <w:rsid w:val="00085BF2"/>
    <w:rsid w:val="000A100A"/>
    <w:rsid w:val="000A658A"/>
    <w:rsid w:val="000B7E0B"/>
    <w:rsid w:val="000C2851"/>
    <w:rsid w:val="000D6C36"/>
    <w:rsid w:val="000E4E41"/>
    <w:rsid w:val="000F78F9"/>
    <w:rsid w:val="0010339A"/>
    <w:rsid w:val="001420AF"/>
    <w:rsid w:val="00155C9B"/>
    <w:rsid w:val="00165FE6"/>
    <w:rsid w:val="001749B1"/>
    <w:rsid w:val="00187CE8"/>
    <w:rsid w:val="001B2D8F"/>
    <w:rsid w:val="001C062A"/>
    <w:rsid w:val="001C447A"/>
    <w:rsid w:val="001C4B73"/>
    <w:rsid w:val="001C4FD0"/>
    <w:rsid w:val="001C664F"/>
    <w:rsid w:val="001D098D"/>
    <w:rsid w:val="001D6804"/>
    <w:rsid w:val="001F095C"/>
    <w:rsid w:val="001F1670"/>
    <w:rsid w:val="00254FF7"/>
    <w:rsid w:val="00257245"/>
    <w:rsid w:val="002729EE"/>
    <w:rsid w:val="002A1459"/>
    <w:rsid w:val="002A2E9E"/>
    <w:rsid w:val="002A4040"/>
    <w:rsid w:val="002B2F32"/>
    <w:rsid w:val="002B42C0"/>
    <w:rsid w:val="002B5A47"/>
    <w:rsid w:val="002B726F"/>
    <w:rsid w:val="002D7959"/>
    <w:rsid w:val="002E58A3"/>
    <w:rsid w:val="0030281F"/>
    <w:rsid w:val="00302AA3"/>
    <w:rsid w:val="00314BA3"/>
    <w:rsid w:val="00324759"/>
    <w:rsid w:val="00335DE0"/>
    <w:rsid w:val="003370E9"/>
    <w:rsid w:val="00344857"/>
    <w:rsid w:val="00346964"/>
    <w:rsid w:val="00351818"/>
    <w:rsid w:val="003646FD"/>
    <w:rsid w:val="003708FC"/>
    <w:rsid w:val="00382C38"/>
    <w:rsid w:val="00387BB5"/>
    <w:rsid w:val="0039288C"/>
    <w:rsid w:val="00396D46"/>
    <w:rsid w:val="00397F17"/>
    <w:rsid w:val="003A7BBA"/>
    <w:rsid w:val="003E4243"/>
    <w:rsid w:val="003E5474"/>
    <w:rsid w:val="004046B9"/>
    <w:rsid w:val="004225DF"/>
    <w:rsid w:val="00430BBB"/>
    <w:rsid w:val="00450936"/>
    <w:rsid w:val="00463485"/>
    <w:rsid w:val="0046686D"/>
    <w:rsid w:val="004821C3"/>
    <w:rsid w:val="00492E4F"/>
    <w:rsid w:val="004948DB"/>
    <w:rsid w:val="004A2AA0"/>
    <w:rsid w:val="004A7EEB"/>
    <w:rsid w:val="004D1123"/>
    <w:rsid w:val="004E6D19"/>
    <w:rsid w:val="00500E9F"/>
    <w:rsid w:val="005012D3"/>
    <w:rsid w:val="005076D1"/>
    <w:rsid w:val="00512238"/>
    <w:rsid w:val="00522573"/>
    <w:rsid w:val="00524B55"/>
    <w:rsid w:val="00534A4C"/>
    <w:rsid w:val="00542391"/>
    <w:rsid w:val="00544446"/>
    <w:rsid w:val="00551987"/>
    <w:rsid w:val="00562FC1"/>
    <w:rsid w:val="00575480"/>
    <w:rsid w:val="00580101"/>
    <w:rsid w:val="005973B5"/>
    <w:rsid w:val="005B2767"/>
    <w:rsid w:val="005B2F5B"/>
    <w:rsid w:val="005B488D"/>
    <w:rsid w:val="005B5549"/>
    <w:rsid w:val="005C1D55"/>
    <w:rsid w:val="005C3A2D"/>
    <w:rsid w:val="005C3DF8"/>
    <w:rsid w:val="005C72BE"/>
    <w:rsid w:val="005F0A68"/>
    <w:rsid w:val="006100EE"/>
    <w:rsid w:val="0061053B"/>
    <w:rsid w:val="00612655"/>
    <w:rsid w:val="006154AA"/>
    <w:rsid w:val="006320A8"/>
    <w:rsid w:val="0064285E"/>
    <w:rsid w:val="006554F9"/>
    <w:rsid w:val="006626DE"/>
    <w:rsid w:val="00685357"/>
    <w:rsid w:val="00685A84"/>
    <w:rsid w:val="00687C41"/>
    <w:rsid w:val="006A1D50"/>
    <w:rsid w:val="006A424A"/>
    <w:rsid w:val="006A61B0"/>
    <w:rsid w:val="006B7A4C"/>
    <w:rsid w:val="006C5423"/>
    <w:rsid w:val="006C5A03"/>
    <w:rsid w:val="006D0EBA"/>
    <w:rsid w:val="006D6789"/>
    <w:rsid w:val="006F4F17"/>
    <w:rsid w:val="00702D88"/>
    <w:rsid w:val="007067F9"/>
    <w:rsid w:val="0071122A"/>
    <w:rsid w:val="00726382"/>
    <w:rsid w:val="00726E08"/>
    <w:rsid w:val="00727257"/>
    <w:rsid w:val="00732A9E"/>
    <w:rsid w:val="00733315"/>
    <w:rsid w:val="00737F3E"/>
    <w:rsid w:val="00745DA9"/>
    <w:rsid w:val="00747B47"/>
    <w:rsid w:val="00763095"/>
    <w:rsid w:val="007A1A2E"/>
    <w:rsid w:val="007A780F"/>
    <w:rsid w:val="007B13B6"/>
    <w:rsid w:val="007B2663"/>
    <w:rsid w:val="007C6ED9"/>
    <w:rsid w:val="007E1C8F"/>
    <w:rsid w:val="007E5B66"/>
    <w:rsid w:val="007F3F1C"/>
    <w:rsid w:val="007F71AA"/>
    <w:rsid w:val="0081437B"/>
    <w:rsid w:val="00837918"/>
    <w:rsid w:val="00847399"/>
    <w:rsid w:val="0084760D"/>
    <w:rsid w:val="00856AAC"/>
    <w:rsid w:val="00857350"/>
    <w:rsid w:val="008575DB"/>
    <w:rsid w:val="008A3B1E"/>
    <w:rsid w:val="008A6A7A"/>
    <w:rsid w:val="008D63D5"/>
    <w:rsid w:val="00910E33"/>
    <w:rsid w:val="00913549"/>
    <w:rsid w:val="009213B5"/>
    <w:rsid w:val="00924FCE"/>
    <w:rsid w:val="00941A80"/>
    <w:rsid w:val="00947352"/>
    <w:rsid w:val="009701B9"/>
    <w:rsid w:val="00981A09"/>
    <w:rsid w:val="009C1F0A"/>
    <w:rsid w:val="009D7744"/>
    <w:rsid w:val="009F2C0A"/>
    <w:rsid w:val="00A30263"/>
    <w:rsid w:val="00A33F1E"/>
    <w:rsid w:val="00A660B1"/>
    <w:rsid w:val="00A832B5"/>
    <w:rsid w:val="00A97965"/>
    <w:rsid w:val="00AA7054"/>
    <w:rsid w:val="00AC7089"/>
    <w:rsid w:val="00AD1A3D"/>
    <w:rsid w:val="00AD344E"/>
    <w:rsid w:val="00AD3BD8"/>
    <w:rsid w:val="00AF6656"/>
    <w:rsid w:val="00B02318"/>
    <w:rsid w:val="00B04F8D"/>
    <w:rsid w:val="00B1798B"/>
    <w:rsid w:val="00B258B4"/>
    <w:rsid w:val="00B27098"/>
    <w:rsid w:val="00B66859"/>
    <w:rsid w:val="00B70054"/>
    <w:rsid w:val="00B80A25"/>
    <w:rsid w:val="00B8312E"/>
    <w:rsid w:val="00B86129"/>
    <w:rsid w:val="00B86E1F"/>
    <w:rsid w:val="00B900D7"/>
    <w:rsid w:val="00B92F4F"/>
    <w:rsid w:val="00B96B5C"/>
    <w:rsid w:val="00B97532"/>
    <w:rsid w:val="00BA0550"/>
    <w:rsid w:val="00BD0366"/>
    <w:rsid w:val="00BD1859"/>
    <w:rsid w:val="00BD2472"/>
    <w:rsid w:val="00C00639"/>
    <w:rsid w:val="00C0175F"/>
    <w:rsid w:val="00C03BA0"/>
    <w:rsid w:val="00C07DAB"/>
    <w:rsid w:val="00C20A04"/>
    <w:rsid w:val="00C477BD"/>
    <w:rsid w:val="00C50B83"/>
    <w:rsid w:val="00C53825"/>
    <w:rsid w:val="00C60552"/>
    <w:rsid w:val="00C76415"/>
    <w:rsid w:val="00C94AB3"/>
    <w:rsid w:val="00C94B4E"/>
    <w:rsid w:val="00CA0066"/>
    <w:rsid w:val="00CA611D"/>
    <w:rsid w:val="00CA7747"/>
    <w:rsid w:val="00CB26E7"/>
    <w:rsid w:val="00CB4813"/>
    <w:rsid w:val="00CB5356"/>
    <w:rsid w:val="00CB608F"/>
    <w:rsid w:val="00CC13A7"/>
    <w:rsid w:val="00CC41A0"/>
    <w:rsid w:val="00CC76E8"/>
    <w:rsid w:val="00CE66A0"/>
    <w:rsid w:val="00CF666D"/>
    <w:rsid w:val="00D012FE"/>
    <w:rsid w:val="00D109E8"/>
    <w:rsid w:val="00D1441B"/>
    <w:rsid w:val="00D14D51"/>
    <w:rsid w:val="00D14E00"/>
    <w:rsid w:val="00D151AE"/>
    <w:rsid w:val="00D515E0"/>
    <w:rsid w:val="00D52945"/>
    <w:rsid w:val="00D54D93"/>
    <w:rsid w:val="00D57F17"/>
    <w:rsid w:val="00D738E3"/>
    <w:rsid w:val="00D80086"/>
    <w:rsid w:val="00D84B54"/>
    <w:rsid w:val="00D8696D"/>
    <w:rsid w:val="00D8763F"/>
    <w:rsid w:val="00D951A4"/>
    <w:rsid w:val="00DA3C8C"/>
    <w:rsid w:val="00DA4683"/>
    <w:rsid w:val="00DB57D6"/>
    <w:rsid w:val="00DB75D6"/>
    <w:rsid w:val="00DC38EA"/>
    <w:rsid w:val="00DD1F29"/>
    <w:rsid w:val="00DD6BB4"/>
    <w:rsid w:val="00DE1B48"/>
    <w:rsid w:val="00DE3409"/>
    <w:rsid w:val="00E008B8"/>
    <w:rsid w:val="00E03D45"/>
    <w:rsid w:val="00E10654"/>
    <w:rsid w:val="00E14628"/>
    <w:rsid w:val="00E14966"/>
    <w:rsid w:val="00E23DAC"/>
    <w:rsid w:val="00E30D52"/>
    <w:rsid w:val="00E44E5D"/>
    <w:rsid w:val="00E504AD"/>
    <w:rsid w:val="00E527AD"/>
    <w:rsid w:val="00E528B1"/>
    <w:rsid w:val="00E536B6"/>
    <w:rsid w:val="00E63924"/>
    <w:rsid w:val="00E70F9A"/>
    <w:rsid w:val="00E8641C"/>
    <w:rsid w:val="00E976A5"/>
    <w:rsid w:val="00EB1D2A"/>
    <w:rsid w:val="00EB2DE2"/>
    <w:rsid w:val="00EB4C49"/>
    <w:rsid w:val="00EB5599"/>
    <w:rsid w:val="00EE04DD"/>
    <w:rsid w:val="00F013F3"/>
    <w:rsid w:val="00F20753"/>
    <w:rsid w:val="00F24E50"/>
    <w:rsid w:val="00F603CF"/>
    <w:rsid w:val="00F65F0B"/>
    <w:rsid w:val="00F668D0"/>
    <w:rsid w:val="00F72DC9"/>
    <w:rsid w:val="00F910A9"/>
    <w:rsid w:val="00FA03F5"/>
    <w:rsid w:val="00FB0C6C"/>
    <w:rsid w:val="00FB1870"/>
    <w:rsid w:val="00FB1C82"/>
    <w:rsid w:val="00FC33CB"/>
    <w:rsid w:val="00FC5602"/>
    <w:rsid w:val="00FD2E93"/>
    <w:rsid w:val="00FD7B80"/>
    <w:rsid w:val="00FF18BF"/>
    <w:rsid w:val="00FF7EFC"/>
    <w:rsid w:val="0992E957"/>
    <w:rsid w:val="42289E7F"/>
    <w:rsid w:val="47E323E8"/>
    <w:rsid w:val="48DBAC9F"/>
    <w:rsid w:val="50DB5CFF"/>
    <w:rsid w:val="60224432"/>
    <w:rsid w:val="73042B0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7BE12EED-87B0-400A-AFED-8B149B30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686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CB608F"/>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CB608F"/>
    <w:rPr>
      <w:rFonts w:ascii="Arial" w:eastAsia="Calibri" w:hAnsi="Arial"/>
      <w:b/>
      <w:bCs/>
      <w:lang w:eastAsia="en-US"/>
    </w:rPr>
  </w:style>
  <w:style w:type="paragraph" w:styleId="Revision">
    <w:name w:val="Revision"/>
    <w:hidden/>
    <w:uiPriority w:val="99"/>
    <w:semiHidden/>
    <w:rsid w:val="005B488D"/>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47946910">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14143059">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10025715">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12160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catalog/weg/BR/en/Gearboxes-and-Multipliers/Industrial/WCG50/WCG50/p/MKT_WMO_BR_TEXT_IMAGE_WCES_GEARBOX_WCG50?utm_source=Stone+Junction&amp;utm_medium=hard_news&amp;utm_campaign=WEG1247&amp;utm_id=WEG1247&amp;utm_term=Stone+Junction+&amp;utm_content=Earned" TargetMode="External"/><Relationship Id="rId18" Type="http://schemas.openxmlformats.org/officeDocument/2006/relationships/hyperlink" Target="https://www.weg.net/institutional/MR/en/all-news/all"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mailto:stephanie@stonejunction.co.uk" TargetMode="External"/><Relationship Id="rId7" Type="http://schemas.openxmlformats.org/officeDocument/2006/relationships/webSettings" Target="webSettings.xml"/><Relationship Id="rId12" Type="http://schemas.openxmlformats.org/officeDocument/2006/relationships/hyperlink" Target="https://www.weg.net/catalog/weg/BR/en/Electric-Motors/W80-Axgen/W80-Axgen/p/MKT_WMO_BR_TEXT_IMAGE_W80_AXGEN?utm_source=Stone+Junction&amp;utm_medium=hard_news&amp;utm_campaign=WEG1247&amp;utm_id=WEG1247&amp;utm_term=Stone+Junction+&amp;utm_content=Earned" TargetMode="External"/><Relationship Id="rId17" Type="http://schemas.openxmlformats.org/officeDocument/2006/relationships/hyperlink" Target="https://www.weg.net/institutional/BR/en/?utm_source=Stone+Junction&amp;utm_medium=hard_news&amp;utm_campaign=WEG1247&amp;utm_id=WEG1247&amp;utm_term=Stone+Junction+&amp;utm_content=Earned" TargetMode="External"/><Relationship Id="rId25" Type="http://schemas.openxmlformats.org/officeDocument/2006/relationships/hyperlink" Target="http://www.weg.net" TargetMode="External"/><Relationship Id="rId2" Type="http://schemas.openxmlformats.org/officeDocument/2006/relationships/customXml" Target="../customXml/item2.xml"/><Relationship Id="rId16" Type="http://schemas.openxmlformats.org/officeDocument/2006/relationships/hyperlink" Target="https://www.weg.net/institutional/BR/en/?utm_source=Stone+Junction&amp;utm_medium=hard_news&amp;utm_campaign=WEG1247&amp;utm_id=WEG1247&amp;utm_term=Stone+Junction+&amp;utm_content=Earned" TargetMode="External"/><Relationship Id="rId20" Type="http://schemas.openxmlformats.org/officeDocument/2006/relationships/hyperlink" Target="mailto:info-ch@weg.net"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BR/en/?utm_source=Stone+Junction&amp;utm_medium=hard_news&amp;utm_campaign=WEG1247&amp;utm_id=WEG1247&amp;utm_term=Stone+Junction+&amp;utm_content=Earned" TargetMode="External"/><Relationship Id="rId24" Type="http://schemas.openxmlformats.org/officeDocument/2006/relationships/hyperlink" Target="https://www.linkedin.com/company/stone-junction-ltd" TargetMode="External"/><Relationship Id="rId5" Type="http://schemas.openxmlformats.org/officeDocument/2006/relationships/styles" Target="styles.xml"/><Relationship Id="rId15" Type="http://schemas.openxmlformats.org/officeDocument/2006/relationships/hyperlink" Target="https://www.weg.net/catalog/weg/BR/en/Gearboxes-and-Multipliers/Gearmotors/WCG20-S/WCG20-S/p/MKT_WMO_BR_TEXT_IMAGE_WCG20_S?utm_source=Stone+Junction&amp;utm_medium=hard_news&amp;utm_campaign=WEG1247&amp;utm_id=WEG1247&amp;utm_term=Stone+Junction+&amp;utm_content=Earned" TargetMode="External"/><Relationship Id="rId23" Type="http://schemas.openxmlformats.org/officeDocument/2006/relationships/hyperlink" Target="http://www.twitter.com/StoneJunctionPR" TargetMode="External"/><Relationship Id="rId28" Type="http://schemas.openxmlformats.org/officeDocument/2006/relationships/header" Target="header2.xml"/><Relationship Id="rId10" Type="http://schemas.openxmlformats.org/officeDocument/2006/relationships/image" Target="media/image1.jpeg"/><Relationship Id="rId19" Type="http://schemas.openxmlformats.org/officeDocument/2006/relationships/hyperlink" Target="http://www.weg.ne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catalog/weg/BR/en/Electric-Motors/Synchronous-Motors/Permanent-Magnets/W23-Sync%2B/W23-Sync%2B/p/MKT_WMO_BR_TEXT_IMAGE_W23_SYNC_PLUS?utm_source=Stone+Junction&amp;utm_medium=hard_news&amp;utm_campaign=WEG1247&amp;utm_id=WEG1247&amp;utm_term=Stone+Junction+&amp;utm_content=Earned" TargetMode="External"/><Relationship Id="rId22" Type="http://schemas.openxmlformats.org/officeDocument/2006/relationships/hyperlink" Target="mailto:encarna@stonejunction.co.uk" TargetMode="External"/><Relationship Id="rId27" Type="http://schemas.openxmlformats.org/officeDocument/2006/relationships/footer" Target="footer1.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51D3AA6-ACB2-4FD5-8052-7B83DF3A86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1230</Words>
  <Characters>7015</Characters>
  <Application>Microsoft Office Word</Application>
  <DocSecurity>0</DocSecurity>
  <Lines>58</Lines>
  <Paragraphs>16</Paragraphs>
  <ScaleCrop>false</ScaleCrop>
  <Company/>
  <LinksUpToDate>false</LinksUpToDate>
  <CharactersWithSpaces>8229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docId:41543EE2146F5E0C33BD06189E907A5C</cp:keywords>
  <cp:lastModifiedBy>Alex Manford</cp:lastModifiedBy>
  <cp:revision>2</cp:revision>
  <cp:lastPrinted>2013-11-28T05:43:00Z</cp:lastPrinted>
  <dcterms:created xsi:type="dcterms:W3CDTF">2026-02-03T10:33:00Z</dcterms:created>
  <dcterms:modified xsi:type="dcterms:W3CDTF">2026-02-03T10:33:00Z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