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2DCB3A" w14:textId="77777777" w:rsidR="00B86E1F" w:rsidRPr="005076D1" w:rsidRDefault="000B7E0B" w:rsidP="005076D1">
      <w:pPr>
        <w:pStyle w:val="BodyCopy"/>
        <w:jc w:val="left"/>
        <w:rPr>
          <w:rFonts w:eastAsia="MS Mincho" w:cs="Arial"/>
        </w:rPr>
      </w:pPr>
      <w:r>
        <w:rPr>
          <w:noProof/>
          <w:lang w:val="es-ES" w:eastAsia="es-ES"/>
        </w:rPr>
        <w:drawing>
          <wp:inline distT="0" distB="0" distL="0" distR="0" wp14:anchorId="5D2DCB6C" wp14:editId="6ADEC692">
            <wp:extent cx="1352550" cy="9429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7E5F11" w14:textId="77777777" w:rsidR="00F42E4C" w:rsidRDefault="00F42E4C" w:rsidP="00F42E4C">
      <w:pPr>
        <w:spacing w:line="480" w:lineRule="auto"/>
        <w:rPr>
          <w:rFonts w:cs="Arial"/>
          <w:b/>
          <w:sz w:val="32"/>
        </w:rPr>
      </w:pPr>
    </w:p>
    <w:p w14:paraId="74C5D10D" w14:textId="2BF50E9E" w:rsidR="00040DD5" w:rsidRPr="003F28F9" w:rsidRDefault="00040DD5" w:rsidP="00315109">
      <w:pPr>
        <w:spacing w:line="480" w:lineRule="auto"/>
        <w:jc w:val="center"/>
        <w:rPr>
          <w:rFonts w:cs="Arial"/>
          <w:b/>
          <w:bCs/>
          <w:sz w:val="32"/>
          <w:szCs w:val="32"/>
          <w:lang w:val="es-ES"/>
        </w:rPr>
      </w:pPr>
      <w:r w:rsidRPr="003F28F9">
        <w:rPr>
          <w:rFonts w:cs="Arial"/>
          <w:b/>
          <w:bCs/>
          <w:sz w:val="32"/>
          <w:szCs w:val="32"/>
          <w:lang w:val="es-ES"/>
        </w:rPr>
        <w:t xml:space="preserve">WEG lanza </w:t>
      </w:r>
      <w:r w:rsidR="003F0E0E" w:rsidRPr="003F28F9">
        <w:rPr>
          <w:rFonts w:cs="Arial"/>
          <w:b/>
          <w:bCs/>
          <w:sz w:val="32"/>
          <w:szCs w:val="32"/>
          <w:lang w:val="es-ES"/>
        </w:rPr>
        <w:t xml:space="preserve">los </w:t>
      </w:r>
      <w:r w:rsidRPr="003F28F9">
        <w:rPr>
          <w:rFonts w:cs="Arial"/>
          <w:b/>
          <w:bCs/>
          <w:sz w:val="32"/>
          <w:szCs w:val="32"/>
          <w:lang w:val="es-ES"/>
        </w:rPr>
        <w:t xml:space="preserve">nuevos </w:t>
      </w:r>
      <w:r w:rsidR="003F0E0E" w:rsidRPr="003F28F9">
        <w:rPr>
          <w:rFonts w:cs="Arial"/>
          <w:b/>
          <w:bCs/>
          <w:sz w:val="32"/>
          <w:szCs w:val="32"/>
          <w:lang w:val="es-ES"/>
        </w:rPr>
        <w:t>controladores PLC200</w:t>
      </w:r>
    </w:p>
    <w:p w14:paraId="365FE731" w14:textId="32E25A18" w:rsidR="00B13FB9" w:rsidRPr="003F28F9" w:rsidRDefault="00B13FB9" w:rsidP="00315109">
      <w:pPr>
        <w:spacing w:line="480" w:lineRule="auto"/>
        <w:jc w:val="center"/>
        <w:rPr>
          <w:rFonts w:cs="Arial"/>
          <w:b/>
          <w:lang w:val="es-ES"/>
        </w:rPr>
      </w:pPr>
      <w:r w:rsidRPr="003F28F9">
        <w:rPr>
          <w:rFonts w:cs="Arial"/>
          <w:b/>
          <w:lang w:val="es-ES"/>
        </w:rPr>
        <w:t xml:space="preserve">~ </w:t>
      </w:r>
      <w:r w:rsidR="003F0E0E" w:rsidRPr="003F28F9">
        <w:rPr>
          <w:rFonts w:cs="Arial"/>
          <w:b/>
          <w:lang w:val="es-ES"/>
        </w:rPr>
        <w:t xml:space="preserve">Los </w:t>
      </w:r>
      <w:r w:rsidR="00867116" w:rsidRPr="003F28F9">
        <w:rPr>
          <w:rFonts w:cs="Arial"/>
          <w:b/>
          <w:lang w:val="es-ES"/>
        </w:rPr>
        <w:t xml:space="preserve">nuevos </w:t>
      </w:r>
      <w:r w:rsidR="003F0E0E" w:rsidRPr="003F28F9">
        <w:rPr>
          <w:rFonts w:cs="Arial"/>
          <w:b/>
          <w:lang w:val="es-ES"/>
        </w:rPr>
        <w:t>controladores</w:t>
      </w:r>
      <w:r w:rsidR="003556A7" w:rsidRPr="003F28F9">
        <w:rPr>
          <w:rFonts w:cs="Arial"/>
          <w:b/>
          <w:lang w:val="es-ES"/>
        </w:rPr>
        <w:t xml:space="preserve"> lógicos</w:t>
      </w:r>
      <w:r w:rsidR="00867116" w:rsidRPr="003F28F9">
        <w:rPr>
          <w:rFonts w:cs="Arial"/>
          <w:b/>
          <w:lang w:val="es-ES"/>
        </w:rPr>
        <w:t xml:space="preserve"> programables </w:t>
      </w:r>
      <w:r w:rsidR="00FC77C4" w:rsidRPr="003F28F9">
        <w:rPr>
          <w:rFonts w:cs="Arial"/>
          <w:b/>
          <w:lang w:val="es-ES"/>
        </w:rPr>
        <w:t xml:space="preserve">permiten una automatización flexible y de alto rendimiento </w:t>
      </w:r>
      <w:r w:rsidRPr="003F28F9">
        <w:rPr>
          <w:rFonts w:cs="Arial"/>
          <w:b/>
          <w:lang w:val="es-ES"/>
        </w:rPr>
        <w:t>~</w:t>
      </w:r>
    </w:p>
    <w:p w14:paraId="544EC671" w14:textId="77777777" w:rsidR="0098171C" w:rsidRPr="003F28F9" w:rsidRDefault="0098171C" w:rsidP="00DD324D">
      <w:pPr>
        <w:spacing w:line="480" w:lineRule="auto"/>
        <w:jc w:val="both"/>
        <w:rPr>
          <w:lang w:val="es-ES"/>
        </w:rPr>
      </w:pPr>
    </w:p>
    <w:p w14:paraId="3E87ED18" w14:textId="40D0251D" w:rsidR="00723B57" w:rsidRPr="003F28F9" w:rsidRDefault="00705A1D" w:rsidP="00DD324D">
      <w:pPr>
        <w:spacing w:line="480" w:lineRule="auto"/>
        <w:jc w:val="both"/>
        <w:rPr>
          <w:b/>
          <w:bCs/>
          <w:lang w:val="es-ES"/>
        </w:rPr>
      </w:pPr>
      <w:r w:rsidRPr="003F28F9">
        <w:rPr>
          <w:b/>
          <w:bCs/>
          <w:lang w:val="es-ES"/>
        </w:rPr>
        <w:t xml:space="preserve">WEG, líder mundial en </w:t>
      </w:r>
      <w:hyperlink r:id="rId11" w:history="1">
        <w:r w:rsidRPr="003F28F9">
          <w:rPr>
            <w:rStyle w:val="Hyperlink"/>
            <w:b/>
            <w:bCs/>
            <w:lang w:val="es-ES"/>
          </w:rPr>
          <w:t>automatización industrial y equipos eléctricos</w:t>
        </w:r>
      </w:hyperlink>
      <w:r w:rsidRPr="003F28F9">
        <w:rPr>
          <w:b/>
          <w:bCs/>
          <w:lang w:val="es-ES"/>
        </w:rPr>
        <w:t xml:space="preserve">, </w:t>
      </w:r>
      <w:r w:rsidR="00FE4F39" w:rsidRPr="003F28F9">
        <w:rPr>
          <w:b/>
          <w:bCs/>
          <w:lang w:val="es-ES"/>
        </w:rPr>
        <w:t xml:space="preserve">ha lanzado el </w:t>
      </w:r>
      <w:r w:rsidR="003F0E0E" w:rsidRPr="003F28F9">
        <w:rPr>
          <w:b/>
          <w:bCs/>
          <w:lang w:val="es-ES"/>
        </w:rPr>
        <w:t>PLC200</w:t>
      </w:r>
      <w:r w:rsidR="00FF3BEE" w:rsidRPr="003F28F9">
        <w:rPr>
          <w:b/>
          <w:bCs/>
          <w:lang w:val="es-ES"/>
        </w:rPr>
        <w:t xml:space="preserve">, la última incorporación a su gama de </w:t>
      </w:r>
      <w:r w:rsidR="003F0E0E" w:rsidRPr="003F28F9">
        <w:rPr>
          <w:b/>
          <w:bCs/>
          <w:lang w:val="es-ES"/>
        </w:rPr>
        <w:t>controladores</w:t>
      </w:r>
      <w:r w:rsidR="00FF3BEE" w:rsidRPr="003F28F9">
        <w:rPr>
          <w:b/>
          <w:bCs/>
          <w:lang w:val="es-ES"/>
        </w:rPr>
        <w:t xml:space="preserve"> lógicos programables </w:t>
      </w:r>
      <w:r w:rsidR="0098171C" w:rsidRPr="003F28F9">
        <w:rPr>
          <w:b/>
          <w:bCs/>
          <w:lang w:val="es-ES"/>
        </w:rPr>
        <w:t>(PLC)</w:t>
      </w:r>
      <w:r w:rsidR="000E3BAF" w:rsidRPr="003F28F9">
        <w:rPr>
          <w:b/>
          <w:bCs/>
          <w:lang w:val="es-ES"/>
        </w:rPr>
        <w:t xml:space="preserve">. </w:t>
      </w:r>
      <w:r w:rsidR="00867116" w:rsidRPr="003F28F9">
        <w:rPr>
          <w:b/>
          <w:bCs/>
          <w:lang w:val="es-ES"/>
        </w:rPr>
        <w:t xml:space="preserve">El PLC200 está </w:t>
      </w:r>
      <w:r w:rsidR="004B103B" w:rsidRPr="003F28F9">
        <w:rPr>
          <w:b/>
          <w:bCs/>
          <w:lang w:val="es-ES"/>
        </w:rPr>
        <w:t xml:space="preserve">diseñado para </w:t>
      </w:r>
      <w:r w:rsidR="0061772F" w:rsidRPr="003F28F9">
        <w:rPr>
          <w:b/>
          <w:bCs/>
          <w:lang w:val="es-ES"/>
        </w:rPr>
        <w:t xml:space="preserve">mejorar </w:t>
      </w:r>
      <w:r w:rsidR="004B103B" w:rsidRPr="003F28F9">
        <w:rPr>
          <w:b/>
          <w:bCs/>
          <w:lang w:val="es-ES"/>
        </w:rPr>
        <w:t xml:space="preserve">el control de la automatización en pequeñas y medianas empresas de una </w:t>
      </w:r>
      <w:r w:rsidR="00867116" w:rsidRPr="003F28F9">
        <w:rPr>
          <w:b/>
          <w:bCs/>
          <w:lang w:val="es-ES"/>
        </w:rPr>
        <w:t>amplia gama de sectores</w:t>
      </w:r>
      <w:r w:rsidR="004B103B" w:rsidRPr="003F28F9">
        <w:rPr>
          <w:b/>
          <w:bCs/>
          <w:lang w:val="es-ES"/>
        </w:rPr>
        <w:t xml:space="preserve">, como la fabricación, el control de procesos, el embalaje y las infraestructuras. </w:t>
      </w:r>
      <w:r w:rsidR="00FE4F39" w:rsidRPr="003F28F9">
        <w:rPr>
          <w:b/>
          <w:bCs/>
          <w:lang w:val="es-ES"/>
        </w:rPr>
        <w:t xml:space="preserve">El PLC200 </w:t>
      </w:r>
      <w:r w:rsidR="00FF3BEE" w:rsidRPr="003F28F9">
        <w:rPr>
          <w:b/>
          <w:bCs/>
          <w:lang w:val="es-ES"/>
        </w:rPr>
        <w:t xml:space="preserve">destaca </w:t>
      </w:r>
      <w:r w:rsidR="0098171C" w:rsidRPr="003F28F9">
        <w:rPr>
          <w:b/>
          <w:bCs/>
          <w:lang w:val="es-ES"/>
        </w:rPr>
        <w:t xml:space="preserve">por </w:t>
      </w:r>
      <w:r w:rsidR="00FE4F39" w:rsidRPr="003F28F9">
        <w:rPr>
          <w:b/>
          <w:bCs/>
          <w:lang w:val="es-ES"/>
        </w:rPr>
        <w:t xml:space="preserve">su diseño compacto y su hardware de alto rendimiento, </w:t>
      </w:r>
      <w:r w:rsidR="005C04ED" w:rsidRPr="003F28F9">
        <w:rPr>
          <w:b/>
          <w:bCs/>
          <w:lang w:val="es-ES"/>
        </w:rPr>
        <w:t xml:space="preserve">que ofrece </w:t>
      </w:r>
      <w:r w:rsidR="00FE4F39" w:rsidRPr="003F28F9">
        <w:rPr>
          <w:b/>
          <w:bCs/>
          <w:lang w:val="es-ES"/>
        </w:rPr>
        <w:t xml:space="preserve">modularidad, escalabilidad y conectividad inteligente en un paquete optimizado. </w:t>
      </w:r>
    </w:p>
    <w:p w14:paraId="0EBADEE6" w14:textId="77777777" w:rsidR="00C90BB2" w:rsidRPr="003F28F9" w:rsidRDefault="00C90BB2" w:rsidP="005A7D16">
      <w:pPr>
        <w:spacing w:line="480" w:lineRule="auto"/>
        <w:jc w:val="both"/>
        <w:rPr>
          <w:lang w:val="es-ES"/>
        </w:rPr>
      </w:pPr>
    </w:p>
    <w:p w14:paraId="24F81BFC" w14:textId="5B76BB51" w:rsidR="001607F8" w:rsidRPr="003F28F9" w:rsidRDefault="00C90BB2" w:rsidP="005A7D16">
      <w:pPr>
        <w:spacing w:line="480" w:lineRule="auto"/>
        <w:jc w:val="both"/>
        <w:rPr>
          <w:lang w:val="es-ES"/>
        </w:rPr>
      </w:pPr>
      <w:r w:rsidRPr="003F28F9">
        <w:rPr>
          <w:lang w:val="es-ES"/>
        </w:rPr>
        <w:t xml:space="preserve">Ya disponible en todo el mundo, el </w:t>
      </w:r>
      <w:hyperlink r:id="rId12" w:history="1">
        <w:r w:rsidR="003F0E0E" w:rsidRPr="003F28F9">
          <w:rPr>
            <w:rStyle w:val="Hyperlink"/>
            <w:lang w:val="es-ES"/>
          </w:rPr>
          <w:t>PLC200</w:t>
        </w:r>
      </w:hyperlink>
      <w:r w:rsidRPr="003F28F9">
        <w:rPr>
          <w:lang w:val="es-ES"/>
        </w:rPr>
        <w:t xml:space="preserve"> combina un procesamiento rápido, una capacidad de expansión modular y conectividad de red integrada en una unidad </w:t>
      </w:r>
      <w:r w:rsidR="00F43127" w:rsidRPr="003F28F9">
        <w:rPr>
          <w:lang w:val="es-ES"/>
        </w:rPr>
        <w:t>pequeña</w:t>
      </w:r>
      <w:r w:rsidRPr="003F28F9">
        <w:rPr>
          <w:lang w:val="es-ES"/>
        </w:rPr>
        <w:t xml:space="preserve">, </w:t>
      </w:r>
      <w:r w:rsidR="00F43127" w:rsidRPr="003F28F9">
        <w:rPr>
          <w:lang w:val="es-ES"/>
        </w:rPr>
        <w:t xml:space="preserve">eficiente </w:t>
      </w:r>
      <w:r w:rsidRPr="003F28F9">
        <w:rPr>
          <w:lang w:val="es-ES"/>
        </w:rPr>
        <w:t xml:space="preserve">y fácil de implementar. Con su arquitectura fácil de usar y su compatibilidad con la amplia gama de productos de automatización de WEG, el </w:t>
      </w:r>
      <w:r w:rsidR="003F0E0E" w:rsidRPr="003F28F9">
        <w:rPr>
          <w:lang w:val="es-ES"/>
        </w:rPr>
        <w:t xml:space="preserve">PLC200 </w:t>
      </w:r>
      <w:r w:rsidR="00F43127" w:rsidRPr="003F28F9">
        <w:rPr>
          <w:lang w:val="es-ES"/>
        </w:rPr>
        <w:t xml:space="preserve">ofrece versatilidad </w:t>
      </w:r>
      <w:r w:rsidRPr="003F28F9">
        <w:rPr>
          <w:lang w:val="es-ES"/>
        </w:rPr>
        <w:t>y eficiencia en entornos de control de pequeño y mediano tamaño.</w:t>
      </w:r>
    </w:p>
    <w:p w14:paraId="4392A421" w14:textId="77777777" w:rsidR="008E7595" w:rsidRPr="003F28F9" w:rsidRDefault="008E7595" w:rsidP="00723B57">
      <w:pPr>
        <w:spacing w:line="480" w:lineRule="auto"/>
        <w:jc w:val="both"/>
        <w:rPr>
          <w:lang w:val="es-ES"/>
        </w:rPr>
      </w:pPr>
    </w:p>
    <w:p w14:paraId="2A1C8D08" w14:textId="0BBE4948" w:rsidR="0053552D" w:rsidRPr="003F28F9" w:rsidRDefault="000B34B8" w:rsidP="0053552D">
      <w:pPr>
        <w:spacing w:line="480" w:lineRule="auto"/>
        <w:jc w:val="both"/>
        <w:rPr>
          <w:lang w:val="es-ES"/>
        </w:rPr>
      </w:pPr>
      <w:r w:rsidRPr="003F28F9">
        <w:rPr>
          <w:lang w:val="es-ES"/>
        </w:rPr>
        <w:t xml:space="preserve">El </w:t>
      </w:r>
      <w:r w:rsidR="003F0E0E" w:rsidRPr="003F28F9">
        <w:rPr>
          <w:lang w:val="es-ES"/>
        </w:rPr>
        <w:t xml:space="preserve">PLC200 </w:t>
      </w:r>
      <w:r w:rsidRPr="003F28F9">
        <w:rPr>
          <w:lang w:val="es-ES"/>
        </w:rPr>
        <w:t xml:space="preserve">funciona con una alimentación de 24 VCC y cuenta con un procesador ARM Cortex M7 de 400 MHz. Esto ayuda a garantizar </w:t>
      </w:r>
      <w:r w:rsidR="000B551A" w:rsidRPr="003F28F9">
        <w:rPr>
          <w:lang w:val="es-ES"/>
        </w:rPr>
        <w:t xml:space="preserve">tiempos </w:t>
      </w:r>
      <w:r w:rsidRPr="003F28F9">
        <w:rPr>
          <w:lang w:val="es-ES"/>
        </w:rPr>
        <w:t>de respuesta rápidos, un rendimiento fiable y eficiencia energética</w:t>
      </w:r>
      <w:r w:rsidR="0053552D" w:rsidRPr="003F28F9">
        <w:rPr>
          <w:rFonts w:cs="Arial"/>
          <w:lang w:val="es-ES"/>
        </w:rPr>
        <w:t xml:space="preserve">, </w:t>
      </w:r>
      <w:r w:rsidRPr="003F28F9">
        <w:rPr>
          <w:lang w:val="es-ES"/>
        </w:rPr>
        <w:t xml:space="preserve">incluso en entornos difíciles. </w:t>
      </w:r>
      <w:r w:rsidR="0053552D" w:rsidRPr="003F28F9">
        <w:rPr>
          <w:lang w:val="es-ES"/>
        </w:rPr>
        <w:t>Ofrece ocho entradas digitales y cuatro salidas digitales en formato plug-and-play, junto con hasta cuatro entradas de doble canal de alta velocidad que alcanzan los 150 kHz para operaciones sensibles al tiempo.</w:t>
      </w:r>
    </w:p>
    <w:p w14:paraId="62F0C71C" w14:textId="245B3B55" w:rsidR="000B34B8" w:rsidRPr="003F28F9" w:rsidRDefault="000B34B8" w:rsidP="008E7595">
      <w:pPr>
        <w:spacing w:line="480" w:lineRule="auto"/>
        <w:jc w:val="both"/>
        <w:rPr>
          <w:lang w:val="es-ES"/>
        </w:rPr>
      </w:pPr>
    </w:p>
    <w:p w14:paraId="3CB59889" w14:textId="1B9EA5FB" w:rsidR="000B34B8" w:rsidRPr="003F28F9" w:rsidRDefault="000B34B8" w:rsidP="008E7595">
      <w:pPr>
        <w:spacing w:line="480" w:lineRule="auto"/>
        <w:jc w:val="both"/>
        <w:rPr>
          <w:lang w:val="es-ES"/>
        </w:rPr>
      </w:pPr>
      <w:r w:rsidRPr="003F28F9">
        <w:rPr>
          <w:lang w:val="es-ES"/>
        </w:rPr>
        <w:t xml:space="preserve">«Este lanzamiento destaca el compromiso de WEG con soluciones accesibles y de vanguardia que mejoran la eficiencia y la adaptabilidad en los entornos industriales actuales», afirmó Aluisio João Corrêa, </w:t>
      </w:r>
      <w:r w:rsidR="0013484A" w:rsidRPr="003F28F9">
        <w:rPr>
          <w:lang w:val="es-ES"/>
        </w:rPr>
        <w:t>supervisor de Ventas</w:t>
      </w:r>
      <w:r w:rsidRPr="003F28F9">
        <w:rPr>
          <w:lang w:val="es-ES"/>
        </w:rPr>
        <w:t xml:space="preserve"> de Automatización de WEG. </w:t>
      </w:r>
      <w:r w:rsidR="0053552D" w:rsidRPr="003F28F9">
        <w:rPr>
          <w:lang w:val="es-ES"/>
        </w:rPr>
        <w:t>«</w:t>
      </w:r>
      <w:r w:rsidRPr="003F28F9">
        <w:rPr>
          <w:lang w:val="es-ES"/>
        </w:rPr>
        <w:t>El diseño plug-and-play</w:t>
      </w:r>
      <w:r w:rsidR="0053552D" w:rsidRPr="003F28F9">
        <w:rPr>
          <w:lang w:val="es-ES"/>
        </w:rPr>
        <w:t xml:space="preserve"> del PLC200 </w:t>
      </w:r>
      <w:r w:rsidRPr="003F28F9">
        <w:rPr>
          <w:lang w:val="es-ES"/>
        </w:rPr>
        <w:t xml:space="preserve">simplifica la instalación y el mantenimiento, mientras que la compatibilidad con los módulos </w:t>
      </w:r>
      <w:hyperlink r:id="rId13" w:history="1">
        <w:r w:rsidRPr="003F28F9">
          <w:rPr>
            <w:rStyle w:val="Hyperlink"/>
            <w:lang w:val="es-ES"/>
          </w:rPr>
          <w:t xml:space="preserve">RUW100, </w:t>
        </w:r>
      </w:hyperlink>
      <w:hyperlink r:id="rId14" w:history="1">
        <w:r w:rsidRPr="003F28F9">
          <w:rPr>
            <w:rStyle w:val="Hyperlink"/>
            <w:lang w:val="es-ES"/>
          </w:rPr>
          <w:t>PLC410</w:t>
        </w:r>
      </w:hyperlink>
      <w:r w:rsidRPr="003F28F9">
        <w:rPr>
          <w:lang w:val="es-ES"/>
        </w:rPr>
        <w:t xml:space="preserve"> y </w:t>
      </w:r>
      <w:hyperlink r:id="rId15" w:history="1">
        <w:r w:rsidRPr="003F28F9">
          <w:rPr>
            <w:rStyle w:val="Hyperlink"/>
            <w:lang w:val="es-ES"/>
          </w:rPr>
          <w:t>PLC500</w:t>
        </w:r>
      </w:hyperlink>
      <w:r w:rsidRPr="003F28F9">
        <w:rPr>
          <w:lang w:val="es-ES"/>
        </w:rPr>
        <w:t xml:space="preserve"> de WEG garantiza un enfoque flexible y rentable de la automatización».</w:t>
      </w:r>
    </w:p>
    <w:p w14:paraId="73F88916" w14:textId="77777777" w:rsidR="000B34B8" w:rsidRPr="003F28F9" w:rsidRDefault="000B34B8" w:rsidP="005A7D16">
      <w:pPr>
        <w:spacing w:line="480" w:lineRule="auto"/>
        <w:jc w:val="both"/>
        <w:rPr>
          <w:lang w:val="es-ES"/>
        </w:rPr>
      </w:pPr>
    </w:p>
    <w:p w14:paraId="4F32269A" w14:textId="6E978092" w:rsidR="000B34B8" w:rsidRPr="003F28F9" w:rsidRDefault="008E7595" w:rsidP="005A7D16">
      <w:pPr>
        <w:spacing w:line="480" w:lineRule="auto"/>
        <w:jc w:val="both"/>
        <w:rPr>
          <w:lang w:val="es-ES"/>
        </w:rPr>
      </w:pPr>
      <w:r w:rsidRPr="003F28F9">
        <w:rPr>
          <w:lang w:val="es-ES"/>
        </w:rPr>
        <w:t xml:space="preserve">Diseñado para permitir la conectividad con las redes de comunicación industriales modernas, el </w:t>
      </w:r>
      <w:r w:rsidR="003F0E0E" w:rsidRPr="003F28F9">
        <w:rPr>
          <w:lang w:val="es-ES"/>
        </w:rPr>
        <w:t xml:space="preserve">PLC200 </w:t>
      </w:r>
      <w:r w:rsidRPr="003F28F9">
        <w:rPr>
          <w:lang w:val="es-ES"/>
        </w:rPr>
        <w:t xml:space="preserve">es compatible con el protocolo de control de transmisión Modbus (TCP) y </w:t>
      </w:r>
      <w:r w:rsidR="00FE0E2B" w:rsidRPr="003F28F9">
        <w:rPr>
          <w:lang w:val="es-ES"/>
        </w:rPr>
        <w:t xml:space="preserve">EtherNet/IP (protocolo industrial Ethernet) </w:t>
      </w:r>
      <w:r w:rsidR="0027253E" w:rsidRPr="003F28F9">
        <w:rPr>
          <w:lang w:val="es-ES"/>
        </w:rPr>
        <w:t xml:space="preserve">a través de </w:t>
      </w:r>
      <w:r w:rsidRPr="003F28F9">
        <w:rPr>
          <w:lang w:val="es-ES"/>
        </w:rPr>
        <w:t xml:space="preserve">su puerto Ethernet integrado. </w:t>
      </w:r>
      <w:r w:rsidR="00AE7245" w:rsidRPr="003F28F9">
        <w:rPr>
          <w:lang w:val="es-ES"/>
        </w:rPr>
        <w:t xml:space="preserve">Además, </w:t>
      </w:r>
      <w:r w:rsidR="003F0E0E" w:rsidRPr="003F28F9">
        <w:rPr>
          <w:lang w:val="es-ES"/>
        </w:rPr>
        <w:t xml:space="preserve">la versión PLC201, que comparte todas las demás características de la serie PLC200, es compatible con el protocolo de comunicación CanOpen. </w:t>
      </w:r>
      <w:r w:rsidR="00AE7245" w:rsidRPr="003F28F9">
        <w:rPr>
          <w:lang w:val="es-ES"/>
        </w:rPr>
        <w:t xml:space="preserve">Con </w:t>
      </w:r>
      <w:r w:rsidRPr="003F28F9">
        <w:rPr>
          <w:lang w:val="es-ES"/>
        </w:rPr>
        <w:t xml:space="preserve">las certificaciones </w:t>
      </w:r>
      <w:r w:rsidR="003F28F9">
        <w:rPr>
          <w:lang w:val="es-ES"/>
        </w:rPr>
        <w:t xml:space="preserve">CE </w:t>
      </w:r>
      <w:r w:rsidRPr="003F28F9">
        <w:rPr>
          <w:lang w:val="es-ES"/>
        </w:rPr>
        <w:t xml:space="preserve">y </w:t>
      </w:r>
      <w:r w:rsidR="003F28F9" w:rsidRPr="003F28F9">
        <w:rPr>
          <w:lang w:val="es-ES"/>
        </w:rPr>
        <w:t xml:space="preserve">UKCA </w:t>
      </w:r>
      <w:r w:rsidR="003F28F9">
        <w:rPr>
          <w:lang w:val="es-ES"/>
        </w:rPr>
        <w:t>(para Reino Unido)</w:t>
      </w:r>
      <w:r w:rsidRPr="003F28F9">
        <w:rPr>
          <w:lang w:val="es-ES"/>
        </w:rPr>
        <w:t xml:space="preserve">, la </w:t>
      </w:r>
      <w:r w:rsidR="00AE7245" w:rsidRPr="003F28F9">
        <w:rPr>
          <w:lang w:val="es-ES"/>
        </w:rPr>
        <w:t xml:space="preserve">serie </w:t>
      </w:r>
      <w:r w:rsidRPr="003F28F9">
        <w:rPr>
          <w:lang w:val="es-ES"/>
        </w:rPr>
        <w:t>PLC200 cumple con los más altos estándares internacionales de seguridad y calidad.</w:t>
      </w:r>
    </w:p>
    <w:p w14:paraId="348F5E9E" w14:textId="77777777" w:rsidR="00723B57" w:rsidRPr="003F28F9" w:rsidRDefault="00723B57" w:rsidP="005A7D16">
      <w:pPr>
        <w:spacing w:line="480" w:lineRule="auto"/>
        <w:jc w:val="both"/>
        <w:rPr>
          <w:lang w:val="es-ES"/>
        </w:rPr>
      </w:pPr>
    </w:p>
    <w:p w14:paraId="663AEDEA" w14:textId="485CA687" w:rsidR="00723B57" w:rsidRPr="003F28F9" w:rsidRDefault="0053552D" w:rsidP="00723B57">
      <w:pPr>
        <w:spacing w:line="480" w:lineRule="auto"/>
        <w:jc w:val="both"/>
        <w:rPr>
          <w:lang w:val="es-ES"/>
        </w:rPr>
      </w:pPr>
      <w:r w:rsidRPr="003F28F9">
        <w:rPr>
          <w:lang w:val="es-ES"/>
        </w:rPr>
        <w:lastRenderedPageBreak/>
        <w:t xml:space="preserve">Uno de los aspectos más valiosos del </w:t>
      </w:r>
      <w:r w:rsidR="003F0E0E" w:rsidRPr="003F28F9">
        <w:rPr>
          <w:lang w:val="es-ES"/>
        </w:rPr>
        <w:t xml:space="preserve">PLC200 </w:t>
      </w:r>
      <w:r w:rsidRPr="003F28F9">
        <w:rPr>
          <w:lang w:val="es-ES"/>
        </w:rPr>
        <w:t>es su compatibilidad con la expansión local</w:t>
      </w:r>
      <w:r w:rsidRPr="003F28F9">
        <w:rPr>
          <w:rFonts w:cs="Arial"/>
          <w:lang w:val="es-ES"/>
        </w:rPr>
        <w:t xml:space="preserve">: </w:t>
      </w:r>
      <w:r w:rsidRPr="003F28F9">
        <w:rPr>
          <w:lang w:val="es-ES"/>
        </w:rPr>
        <w:t xml:space="preserve">el dispositivo admite hasta ocho módulos de expansión. </w:t>
      </w:r>
      <w:r w:rsidR="00723B57" w:rsidRPr="003F28F9">
        <w:rPr>
          <w:lang w:val="es-ES"/>
        </w:rPr>
        <w:t xml:space="preserve">Esto permite a los usuarios personalizar las configuraciones de </w:t>
      </w:r>
      <w:r w:rsidR="003F28F9">
        <w:rPr>
          <w:lang w:val="es-ES"/>
        </w:rPr>
        <w:t>las</w:t>
      </w:r>
      <w:r w:rsidR="00723B57" w:rsidRPr="003F28F9">
        <w:rPr>
          <w:lang w:val="es-ES"/>
        </w:rPr>
        <w:t xml:space="preserve"> tarjetas de entrada/salida digitales y </w:t>
      </w:r>
      <w:r w:rsidR="009A5ED9" w:rsidRPr="003F28F9">
        <w:rPr>
          <w:lang w:val="es-ES"/>
        </w:rPr>
        <w:t>analógicas</w:t>
      </w:r>
      <w:r w:rsidR="00723B57" w:rsidRPr="003F28F9">
        <w:rPr>
          <w:lang w:val="es-ES"/>
        </w:rPr>
        <w:t xml:space="preserve">, incluidos sensores de temperatura como termopares y </w:t>
      </w:r>
      <w:r w:rsidR="00FE0E2B" w:rsidRPr="003F28F9">
        <w:rPr>
          <w:lang w:val="es-ES"/>
        </w:rPr>
        <w:t xml:space="preserve">detectores de temperatura por resistencia </w:t>
      </w:r>
      <w:r w:rsidR="000B34B8" w:rsidRPr="003F28F9">
        <w:rPr>
          <w:lang w:val="es-ES"/>
        </w:rPr>
        <w:t>(</w:t>
      </w:r>
      <w:r w:rsidR="00723B57" w:rsidRPr="003F28F9">
        <w:rPr>
          <w:lang w:val="es-ES"/>
        </w:rPr>
        <w:t>RTD</w:t>
      </w:r>
      <w:r w:rsidR="000B34B8" w:rsidRPr="003F28F9">
        <w:rPr>
          <w:lang w:val="es-ES"/>
        </w:rPr>
        <w:t xml:space="preserve">).  </w:t>
      </w:r>
    </w:p>
    <w:p w14:paraId="6A9E3AD7" w14:textId="70A59B55" w:rsidR="008E7595" w:rsidRPr="003F28F9" w:rsidRDefault="008E7595" w:rsidP="00DD324D">
      <w:pPr>
        <w:spacing w:line="480" w:lineRule="auto"/>
        <w:jc w:val="both"/>
        <w:rPr>
          <w:lang w:val="es-ES"/>
        </w:rPr>
      </w:pPr>
    </w:p>
    <w:p w14:paraId="041D589E" w14:textId="6B4447E4" w:rsidR="000B34B8" w:rsidRPr="003F28F9" w:rsidRDefault="008E7595" w:rsidP="00DD324D">
      <w:pPr>
        <w:spacing w:line="480" w:lineRule="auto"/>
        <w:jc w:val="both"/>
        <w:rPr>
          <w:lang w:val="es-ES"/>
        </w:rPr>
      </w:pPr>
      <w:r w:rsidRPr="003F28F9">
        <w:rPr>
          <w:lang w:val="es-ES"/>
        </w:rPr>
        <w:t xml:space="preserve">El </w:t>
      </w:r>
      <w:r w:rsidR="003F0E0E" w:rsidRPr="003F28F9">
        <w:rPr>
          <w:lang w:val="es-ES"/>
        </w:rPr>
        <w:t xml:space="preserve">PLC200 </w:t>
      </w:r>
      <w:r w:rsidR="000B34B8" w:rsidRPr="003F28F9">
        <w:rPr>
          <w:lang w:val="es-ES"/>
        </w:rPr>
        <w:t xml:space="preserve">también </w:t>
      </w:r>
      <w:r w:rsidRPr="003F28F9">
        <w:rPr>
          <w:lang w:val="es-ES"/>
        </w:rPr>
        <w:t xml:space="preserve">es totalmente programable a través </w:t>
      </w:r>
      <w:hyperlink r:id="rId16" w:history="1">
        <w:r w:rsidRPr="003F28F9">
          <w:rPr>
            <w:rStyle w:val="Hyperlink"/>
            <w:lang w:val="es-ES"/>
          </w:rPr>
          <w:t>del software WPS®</w:t>
        </w:r>
      </w:hyperlink>
      <w:r w:rsidRPr="003F28F9">
        <w:rPr>
          <w:lang w:val="es-ES"/>
        </w:rPr>
        <w:t xml:space="preserve"> de WEG, una herramienta para programar, supervisar y configurar equipos de automatización. Es compatible con los lenguajes Ladder Diagram (LD) y Structured Text (ST), en línea con la norma internacional IEC 61131-3. Diseñado para un desarrollo intuitivo y una depuración rápida, WPS® agiliza los flujos de trabajo y aumenta la productividad. </w:t>
      </w:r>
    </w:p>
    <w:p w14:paraId="1CF1E2B4" w14:textId="77777777" w:rsidR="000B34B8" w:rsidRPr="003F28F9" w:rsidRDefault="000B34B8" w:rsidP="00DD324D">
      <w:pPr>
        <w:spacing w:line="480" w:lineRule="auto"/>
        <w:jc w:val="both"/>
        <w:rPr>
          <w:lang w:val="es-ES"/>
        </w:rPr>
      </w:pPr>
    </w:p>
    <w:p w14:paraId="34CFDB86" w14:textId="62548A4D" w:rsidR="008E7595" w:rsidRPr="003F28F9" w:rsidRDefault="000B34B8" w:rsidP="00DD324D">
      <w:pPr>
        <w:spacing w:line="480" w:lineRule="auto"/>
        <w:jc w:val="both"/>
        <w:rPr>
          <w:lang w:val="es-ES"/>
        </w:rPr>
      </w:pPr>
      <w:r w:rsidRPr="003F28F9">
        <w:rPr>
          <w:lang w:val="es-ES"/>
        </w:rPr>
        <w:t xml:space="preserve">El software WPS® </w:t>
      </w:r>
      <w:hyperlink r:id="rId17" w:history="1">
        <w:r w:rsidR="008E7595" w:rsidRPr="003F28F9">
          <w:rPr>
            <w:rStyle w:val="Hyperlink"/>
            <w:lang w:val="es-ES"/>
          </w:rPr>
          <w:t>se puede descargar gratuitamente</w:t>
        </w:r>
      </w:hyperlink>
      <w:r w:rsidR="008E7595" w:rsidRPr="003F28F9">
        <w:rPr>
          <w:lang w:val="es-ES"/>
        </w:rPr>
        <w:t xml:space="preserve"> desde</w:t>
      </w:r>
      <w:r w:rsidR="003F28F9">
        <w:rPr>
          <w:lang w:val="es-ES"/>
        </w:rPr>
        <w:t xml:space="preserve"> la página w</w:t>
      </w:r>
      <w:r w:rsidR="008E7595" w:rsidRPr="003F28F9">
        <w:rPr>
          <w:lang w:val="es-ES"/>
        </w:rPr>
        <w:t xml:space="preserve">eb oficial de WEG y se actualiza periódicamente para garantizar un rendimiento y una compatibilidad óptimos. </w:t>
      </w:r>
    </w:p>
    <w:p w14:paraId="2F8B6F42" w14:textId="77777777" w:rsidR="008E7595" w:rsidRPr="003F28F9" w:rsidRDefault="008E7595" w:rsidP="00DD324D">
      <w:pPr>
        <w:spacing w:line="480" w:lineRule="auto"/>
        <w:jc w:val="both"/>
        <w:rPr>
          <w:lang w:val="es-ES"/>
        </w:rPr>
      </w:pPr>
    </w:p>
    <w:p w14:paraId="051A307B" w14:textId="12212AB1" w:rsidR="008E7595" w:rsidRPr="003F28F9" w:rsidRDefault="008E7595" w:rsidP="00DD324D">
      <w:pPr>
        <w:spacing w:line="480" w:lineRule="auto"/>
        <w:jc w:val="both"/>
        <w:rPr>
          <w:lang w:val="es-ES"/>
        </w:rPr>
      </w:pPr>
      <w:r w:rsidRPr="003F28F9">
        <w:rPr>
          <w:lang w:val="es-ES"/>
        </w:rPr>
        <w:t xml:space="preserve">«Estamos comprometidos con la evolución continua de nuestra gama de PLC en línea con las tendencias emergentes del </w:t>
      </w:r>
      <w:r w:rsidR="0027253E" w:rsidRPr="003F28F9">
        <w:rPr>
          <w:lang w:val="es-ES"/>
        </w:rPr>
        <w:t>mercado»</w:t>
      </w:r>
      <w:r w:rsidRPr="003F28F9">
        <w:rPr>
          <w:lang w:val="es-ES"/>
        </w:rPr>
        <w:t xml:space="preserve">, </w:t>
      </w:r>
      <w:r w:rsidR="0027253E" w:rsidRPr="003F28F9">
        <w:rPr>
          <w:lang w:val="es-ES"/>
        </w:rPr>
        <w:t xml:space="preserve">añadió Corrêa. «El lanzamiento del nuevo </w:t>
      </w:r>
      <w:r w:rsidR="003F0E0E" w:rsidRPr="003F28F9">
        <w:rPr>
          <w:lang w:val="es-ES"/>
        </w:rPr>
        <w:t xml:space="preserve">PLC200 </w:t>
      </w:r>
      <w:r w:rsidR="0027253E" w:rsidRPr="003F28F9">
        <w:rPr>
          <w:lang w:val="es-ES"/>
        </w:rPr>
        <w:t xml:space="preserve">subraya </w:t>
      </w:r>
      <w:r w:rsidRPr="003F28F9">
        <w:rPr>
          <w:lang w:val="es-ES"/>
        </w:rPr>
        <w:t>el firme compromiso de</w:t>
      </w:r>
      <w:r w:rsidR="0027253E" w:rsidRPr="003F28F9">
        <w:rPr>
          <w:lang w:val="es-ES"/>
        </w:rPr>
        <w:t xml:space="preserve"> WEG </w:t>
      </w:r>
      <w:r w:rsidRPr="003F28F9">
        <w:rPr>
          <w:lang w:val="es-ES"/>
        </w:rPr>
        <w:t xml:space="preserve">de </w:t>
      </w:r>
      <w:r w:rsidR="0027253E" w:rsidRPr="003F28F9">
        <w:rPr>
          <w:lang w:val="es-ES"/>
        </w:rPr>
        <w:t>ayudar a las industrias a reducir significativamente el consumo de energía y a comprometerse con prácticas más sostenibles».</w:t>
      </w:r>
    </w:p>
    <w:p w14:paraId="2D90EBA8" w14:textId="77777777" w:rsidR="00E866E1" w:rsidRPr="003F28F9" w:rsidRDefault="00E866E1" w:rsidP="00DD324D">
      <w:pPr>
        <w:spacing w:line="480" w:lineRule="auto"/>
        <w:jc w:val="both"/>
        <w:rPr>
          <w:lang w:val="es-ES"/>
        </w:rPr>
      </w:pPr>
    </w:p>
    <w:p w14:paraId="32AAF2F2" w14:textId="54EFEAE7" w:rsidR="0098171C" w:rsidRPr="00427E58" w:rsidRDefault="00EC4726" w:rsidP="00427E58">
      <w:pPr>
        <w:spacing w:line="480" w:lineRule="auto"/>
        <w:jc w:val="both"/>
        <w:rPr>
          <w:rStyle w:val="Hyperlink"/>
          <w:rFonts w:cs="Arial"/>
          <w:i/>
          <w:iCs/>
          <w:lang w:val="es-ES"/>
        </w:rPr>
      </w:pPr>
      <w:r w:rsidRPr="003F28F9">
        <w:rPr>
          <w:rFonts w:cs="Arial"/>
          <w:i/>
          <w:iCs/>
          <w:lang w:val="es-ES"/>
        </w:rPr>
        <w:lastRenderedPageBreak/>
        <w:t xml:space="preserve">Para obtener más información sobre </w:t>
      </w:r>
      <w:r w:rsidR="003F0E0E" w:rsidRPr="003F28F9">
        <w:rPr>
          <w:rFonts w:cs="Arial"/>
          <w:i/>
          <w:iCs/>
          <w:lang w:val="es-ES"/>
        </w:rPr>
        <w:t xml:space="preserve">el PLC200 </w:t>
      </w:r>
      <w:r w:rsidR="0065337D" w:rsidRPr="003F28F9">
        <w:rPr>
          <w:rFonts w:cs="Arial"/>
          <w:i/>
          <w:iCs/>
          <w:lang w:val="es-ES"/>
        </w:rPr>
        <w:t xml:space="preserve">y otros productos de automatización, </w:t>
      </w:r>
      <w:hyperlink r:id="rId18" w:history="1">
        <w:r w:rsidR="00040DD5" w:rsidRPr="003F28F9">
          <w:rPr>
            <w:rStyle w:val="Hyperlink"/>
            <w:rFonts w:cs="Arial"/>
            <w:i/>
            <w:iCs/>
            <w:lang w:val="es-ES"/>
          </w:rPr>
          <w:t xml:space="preserve">visite </w:t>
        </w:r>
        <w:r w:rsidR="00346660" w:rsidRPr="003F28F9">
          <w:rPr>
            <w:rStyle w:val="Hyperlink"/>
            <w:rFonts w:cs="Arial"/>
            <w:i/>
            <w:iCs/>
            <w:lang w:val="es-ES"/>
          </w:rPr>
          <w:t>el sitio web</w:t>
        </w:r>
      </w:hyperlink>
      <w:r w:rsidR="0065337D" w:rsidRPr="003F28F9">
        <w:rPr>
          <w:rFonts w:cs="Arial"/>
          <w:i/>
          <w:iCs/>
          <w:lang w:val="es-ES"/>
        </w:rPr>
        <w:t xml:space="preserve"> o póngase en contacto con el equipo de ventas de WEG en</w:t>
      </w:r>
      <w:r w:rsidR="00744243">
        <w:rPr>
          <w:rFonts w:cs="Arial"/>
          <w:i/>
          <w:iCs/>
          <w:lang w:val="es-ES"/>
        </w:rPr>
        <w:t xml:space="preserve"> </w:t>
      </w:r>
      <w:r w:rsidR="00427E58" w:rsidRPr="00427E58">
        <w:rPr>
          <w:rStyle w:val="Hyperlink"/>
          <w:rFonts w:cs="Arial"/>
          <w:i/>
          <w:iCs/>
          <w:lang w:val="es-ES"/>
        </w:rPr>
        <w:t>info-es@weg.net</w:t>
      </w:r>
      <w:r w:rsidR="00427E58">
        <w:rPr>
          <w:rStyle w:val="Hyperlink"/>
          <w:rFonts w:cs="Arial"/>
          <w:i/>
          <w:iCs/>
          <w:lang w:val="es-ES"/>
        </w:rPr>
        <w:t>.</w:t>
      </w:r>
    </w:p>
    <w:p w14:paraId="5D2DCB53" w14:textId="4167F3C8" w:rsidR="00E03D45" w:rsidRPr="003F28F9" w:rsidRDefault="00E03D45" w:rsidP="00E03D45">
      <w:pPr>
        <w:rPr>
          <w:rFonts w:eastAsia="MS Mincho" w:cs="Arial"/>
          <w:lang w:val="es-ES"/>
        </w:rPr>
      </w:pPr>
      <w:r w:rsidRPr="003F28F9">
        <w:rPr>
          <w:rFonts w:eastAsia="MS Mincho" w:cs="Arial"/>
          <w:b/>
          <w:color w:val="4472C4"/>
          <w:lang w:val="es-ES"/>
        </w:rPr>
        <w:t>Fin:</w:t>
      </w:r>
      <w:r w:rsidR="0006726E" w:rsidRPr="003F28F9">
        <w:rPr>
          <w:rFonts w:eastAsia="MS Mincho" w:cs="Arial"/>
          <w:lang w:val="es-ES"/>
        </w:rPr>
        <w:t xml:space="preserve"> </w:t>
      </w:r>
      <w:r w:rsidR="00590050">
        <w:rPr>
          <w:rFonts w:eastAsia="MS Mincho" w:cs="Arial"/>
          <w:lang w:val="es-ES"/>
        </w:rPr>
        <w:t>609</w:t>
      </w:r>
      <w:r w:rsidR="0006726E" w:rsidRPr="003F28F9">
        <w:rPr>
          <w:rFonts w:eastAsia="MS Mincho" w:cs="Arial"/>
          <w:lang w:val="es-ES"/>
        </w:rPr>
        <w:t xml:space="preserve"> </w:t>
      </w:r>
      <w:r w:rsidRPr="003F28F9">
        <w:rPr>
          <w:rFonts w:eastAsia="MS Mincho" w:cs="Arial"/>
          <w:lang w:val="es-ES"/>
        </w:rPr>
        <w:t>palabras</w:t>
      </w:r>
    </w:p>
    <w:p w14:paraId="5D2DCB54" w14:textId="77777777" w:rsidR="00E03D45" w:rsidRPr="003F28F9" w:rsidRDefault="00E03D45" w:rsidP="008A6A7A">
      <w:pPr>
        <w:rPr>
          <w:rFonts w:eastAsia="MS Mincho"/>
          <w:lang w:val="es-ES"/>
        </w:rPr>
      </w:pPr>
    </w:p>
    <w:p w14:paraId="5D2DCB55" w14:textId="337EAF6B" w:rsidR="00924FCE" w:rsidRPr="003F28F9" w:rsidRDefault="00924FCE" w:rsidP="008A6A7A">
      <w:pPr>
        <w:rPr>
          <w:lang w:val="es-ES"/>
        </w:rPr>
      </w:pPr>
      <w:r w:rsidRPr="003F28F9">
        <w:rPr>
          <w:rFonts w:eastAsia="MS Mincho"/>
          <w:b/>
          <w:color w:val="4472C4"/>
          <w:lang w:val="es-ES"/>
        </w:rPr>
        <w:t>Pie de foto:</w:t>
      </w:r>
    </w:p>
    <w:p w14:paraId="5D2DCB56" w14:textId="77777777" w:rsidR="00924FCE" w:rsidRPr="003F28F9" w:rsidRDefault="00924FCE" w:rsidP="008A6A7A">
      <w:pPr>
        <w:rPr>
          <w:rFonts w:eastAsia="MS Mincho"/>
          <w:lang w:val="es-ES"/>
        </w:rPr>
      </w:pPr>
    </w:p>
    <w:p w14:paraId="5D2DCB57" w14:textId="273A503A" w:rsidR="00E03D45" w:rsidRPr="003F28F9" w:rsidRDefault="00E03D45" w:rsidP="008A6A7A">
      <w:pPr>
        <w:rPr>
          <w:lang w:val="es-ES"/>
        </w:rPr>
      </w:pPr>
      <w:r w:rsidRPr="003F28F9">
        <w:rPr>
          <w:rFonts w:eastAsia="MS Mincho"/>
          <w:b/>
          <w:bCs/>
          <w:color w:val="4472C4"/>
          <w:lang w:val="es-ES"/>
        </w:rPr>
        <w:t xml:space="preserve">Nota del editor: </w:t>
      </w:r>
      <w:r w:rsidRPr="003F28F9">
        <w:rPr>
          <w:lang w:val="es-ES"/>
        </w:rPr>
        <w:t xml:space="preserve">Si desea mantenerse al día con el material de prensa, el contenido centrado en opiniones y los casos prácticos de </w:t>
      </w:r>
      <w:r w:rsidR="008A6A7A" w:rsidRPr="003F28F9">
        <w:rPr>
          <w:lang w:val="es-ES"/>
        </w:rPr>
        <w:t>WEG</w:t>
      </w:r>
      <w:r w:rsidRPr="003F28F9">
        <w:rPr>
          <w:lang w:val="es-ES"/>
        </w:rPr>
        <w:t xml:space="preserve">, visite </w:t>
      </w:r>
      <w:hyperlink r:id="rId19" w:history="1">
        <w:r w:rsidR="00427E58" w:rsidRPr="00F82D4C">
          <w:rPr>
            <w:rStyle w:val="Hyperlink"/>
            <w:rFonts w:cs="Arial"/>
            <w:lang w:val="es-ES"/>
          </w:rPr>
          <w:t>https://www.weg.net/institutional/MR/en/all-news/all</w:t>
        </w:r>
      </w:hyperlink>
    </w:p>
    <w:p w14:paraId="5D2DCB58" w14:textId="77777777" w:rsidR="00E03D45" w:rsidRPr="003F28F9" w:rsidRDefault="00E03D45" w:rsidP="008A6A7A">
      <w:pPr>
        <w:rPr>
          <w:rFonts w:eastAsia="MS Mincho"/>
          <w:b/>
          <w:bCs/>
          <w:color w:val="00529C"/>
          <w:lang w:val="es-ES"/>
        </w:rPr>
      </w:pPr>
    </w:p>
    <w:p w14:paraId="3ABD0844" w14:textId="77777777" w:rsidR="00FF02C6" w:rsidRPr="003F28F9" w:rsidRDefault="00FF02C6" w:rsidP="00FF02C6">
      <w:pPr>
        <w:rPr>
          <w:rFonts w:eastAsia="MS Mincho"/>
          <w:b/>
          <w:bCs/>
          <w:color w:val="4472C4"/>
          <w:lang w:val="es-ES"/>
        </w:rPr>
      </w:pPr>
      <w:r w:rsidRPr="003F28F9">
        <w:rPr>
          <w:rFonts w:eastAsia="MS Mincho"/>
          <w:b/>
          <w:bCs/>
          <w:color w:val="4472C4"/>
          <w:lang w:val="es-ES"/>
        </w:rPr>
        <w:t xml:space="preserve">Para más información, póngase en contacto con: </w:t>
      </w:r>
    </w:p>
    <w:p w14:paraId="00F2E296" w14:textId="1C5F9D41" w:rsidR="00FF02C6" w:rsidRPr="00744243" w:rsidRDefault="00FF02C6" w:rsidP="00FF02C6">
      <w:r w:rsidRPr="00744243">
        <w:t>Marcio Ematsu, WEG International GmbH, Am Mattenhof 16a, 6010 Kriens, Suiza.</w:t>
      </w:r>
    </w:p>
    <w:p w14:paraId="00EB4BB8" w14:textId="77777777" w:rsidR="00FF02C6" w:rsidRPr="003F28F9" w:rsidRDefault="00FF02C6" w:rsidP="00FF02C6">
      <w:pPr>
        <w:rPr>
          <w:rFonts w:eastAsia="MS Mincho"/>
          <w:b/>
          <w:bCs/>
          <w:color w:val="4472C4"/>
          <w:lang w:val="es-ES"/>
        </w:rPr>
      </w:pPr>
      <w:r w:rsidRPr="003F28F9">
        <w:rPr>
          <w:rFonts w:eastAsia="MS Mincho"/>
          <w:b/>
          <w:bCs/>
          <w:color w:val="4472C4"/>
          <w:lang w:val="es-ES"/>
        </w:rPr>
        <w:t xml:space="preserve">www: </w:t>
      </w:r>
      <w:hyperlink r:id="rId20" w:tgtFrame="_blank" w:history="1">
        <w:r w:rsidRPr="003F28F9">
          <w:rPr>
            <w:rStyle w:val="Hyperlink"/>
            <w:rFonts w:eastAsia="MS Mincho"/>
            <w:b/>
            <w:bCs/>
            <w:lang w:val="es-ES"/>
          </w:rPr>
          <w:t>www.weg.net</w:t>
        </w:r>
      </w:hyperlink>
      <w:r w:rsidRPr="003F28F9">
        <w:rPr>
          <w:rFonts w:eastAsia="MS Mincho"/>
          <w:b/>
          <w:bCs/>
          <w:color w:val="4472C4"/>
          <w:lang w:val="es-ES"/>
        </w:rPr>
        <w:t>  </w:t>
      </w:r>
    </w:p>
    <w:p w14:paraId="5DC4804D" w14:textId="77777777" w:rsidR="00FF02C6" w:rsidRPr="003F28F9" w:rsidRDefault="00FF02C6" w:rsidP="00FF02C6">
      <w:pPr>
        <w:rPr>
          <w:rFonts w:eastAsia="MS Mincho"/>
          <w:b/>
          <w:bCs/>
          <w:color w:val="4472C4"/>
          <w:lang w:val="es-ES"/>
        </w:rPr>
      </w:pPr>
      <w:r w:rsidRPr="003F28F9">
        <w:rPr>
          <w:rFonts w:eastAsia="MS Mincho"/>
          <w:b/>
          <w:bCs/>
          <w:color w:val="4472C4"/>
          <w:lang w:val="es-ES"/>
        </w:rPr>
        <w:t xml:space="preserve">Correo electrónico: </w:t>
      </w:r>
      <w:hyperlink r:id="rId21" w:tgtFrame="_blank" w:tooltip="mailto:info@weg.net" w:history="1">
        <w:r w:rsidRPr="003F28F9">
          <w:rPr>
            <w:rStyle w:val="Hyperlink"/>
            <w:rFonts w:eastAsia="MS Mincho"/>
            <w:b/>
            <w:bCs/>
            <w:lang w:val="es-ES"/>
          </w:rPr>
          <w:t>info@weg.net</w:t>
        </w:r>
      </w:hyperlink>
    </w:p>
    <w:p w14:paraId="5D2DCB5D" w14:textId="77777777" w:rsidR="00E03D45" w:rsidRPr="003F28F9" w:rsidRDefault="00E03D45" w:rsidP="008A6A7A">
      <w:pPr>
        <w:rPr>
          <w:rFonts w:eastAsia="MS Mincho"/>
          <w:color w:val="0C7289"/>
          <w:lang w:val="es-ES"/>
        </w:rPr>
      </w:pPr>
    </w:p>
    <w:p w14:paraId="5D2DCB5E" w14:textId="7D31A1FA" w:rsidR="00E03D45" w:rsidRPr="003F28F9" w:rsidRDefault="00E03D45" w:rsidP="008A6A7A">
      <w:pPr>
        <w:rPr>
          <w:rFonts w:eastAsia="MS Mincho"/>
          <w:spacing w:val="-3"/>
          <w:lang w:val="es-ES"/>
        </w:rPr>
      </w:pPr>
      <w:r w:rsidRPr="003F28F9">
        <w:rPr>
          <w:rFonts w:eastAsia="MS Mincho"/>
          <w:b/>
          <w:bCs/>
          <w:color w:val="4472C4"/>
          <w:lang w:val="es-ES"/>
        </w:rPr>
        <w:t xml:space="preserve">Consultas de prensa: </w:t>
      </w:r>
      <w:r w:rsidR="0010339A" w:rsidRPr="003F28F9">
        <w:rPr>
          <w:rFonts w:eastAsia="MS Mincho"/>
          <w:spacing w:val="-3"/>
          <w:lang w:val="es-ES"/>
        </w:rPr>
        <w:t xml:space="preserve">Stephanie Wood </w:t>
      </w:r>
      <w:r w:rsidR="00346660" w:rsidRPr="003F28F9">
        <w:rPr>
          <w:rFonts w:eastAsia="MS Mincho"/>
          <w:spacing w:val="-3"/>
          <w:lang w:val="es-ES"/>
        </w:rPr>
        <w:t xml:space="preserve">o Encarna Núñez </w:t>
      </w:r>
      <w:r w:rsidRPr="003F28F9">
        <w:rPr>
          <w:rFonts w:eastAsia="MS Mincho"/>
          <w:spacing w:val="-3"/>
          <w:lang w:val="es-ES"/>
        </w:rPr>
        <w:t>– Stone Junction Ltd</w:t>
      </w:r>
    </w:p>
    <w:p w14:paraId="5D2DCB5F" w14:textId="77777777" w:rsidR="00E03D45" w:rsidRPr="00E23DAC" w:rsidRDefault="00E23DAC" w:rsidP="008A6A7A">
      <w:pPr>
        <w:rPr>
          <w:rFonts w:cs="Arial"/>
          <w:color w:val="000000"/>
          <w:lang w:eastAsia="en-GB"/>
        </w:rPr>
      </w:pPr>
      <w:r w:rsidRPr="00B20A0A">
        <w:rPr>
          <w:rFonts w:cs="Arial"/>
          <w:color w:val="000000"/>
          <w:lang w:eastAsia="en-GB"/>
        </w:rPr>
        <w:t xml:space="preserve">Suites 1 y 2 The Malthouse, Water Street, Stafford, Staffordshire, ST16 1AR </w:t>
      </w:r>
      <w:r w:rsidR="00E03D45" w:rsidRPr="008A6A7A">
        <w:rPr>
          <w:rFonts w:eastAsia="MS Mincho"/>
          <w:noProof/>
          <w:lang w:eastAsia="en-GB"/>
        </w:rPr>
        <w:br/>
      </w:r>
      <w:r w:rsidR="00E03D45" w:rsidRPr="00F603CF">
        <w:rPr>
          <w:rFonts w:eastAsia="MS Mincho"/>
          <w:b/>
          <w:bCs/>
          <w:color w:val="4472C4"/>
        </w:rPr>
        <w:t xml:space="preserve">Teléfono: </w:t>
      </w:r>
      <w:r w:rsidR="00E03D45" w:rsidRPr="008A6A7A">
        <w:rPr>
          <w:rFonts w:eastAsia="MS Mincho"/>
          <w:spacing w:val="-3"/>
        </w:rPr>
        <w:t>+44 (0) 1785 225416</w:t>
      </w:r>
    </w:p>
    <w:p w14:paraId="5D2DCB60" w14:textId="16BD894A" w:rsidR="00E03D45" w:rsidRPr="003F28F9" w:rsidRDefault="00E03D45" w:rsidP="008A6A7A">
      <w:pPr>
        <w:rPr>
          <w:rFonts w:eastAsia="MS Mincho"/>
          <w:spacing w:val="-3"/>
          <w:lang w:val="pt-BR"/>
        </w:rPr>
      </w:pPr>
      <w:r w:rsidRPr="003F28F9">
        <w:rPr>
          <w:rFonts w:eastAsia="MS Mincho"/>
          <w:b/>
          <w:bCs/>
          <w:color w:val="4472C4"/>
          <w:lang w:val="pt-BR"/>
        </w:rPr>
        <w:t>Correo electrónico:</w:t>
      </w:r>
      <w:hyperlink r:id="rId22" w:history="1">
        <w:r w:rsidR="0010339A" w:rsidRPr="003F28F9">
          <w:rPr>
            <w:rStyle w:val="Hyperlink"/>
            <w:rFonts w:eastAsia="MS Mincho"/>
            <w:spacing w:val="-3"/>
            <w:lang w:val="pt-BR"/>
          </w:rPr>
          <w:t>stephanie@stonejunction.co.uk</w:t>
        </w:r>
      </w:hyperlink>
      <w:r w:rsidR="00346660" w:rsidRPr="003F28F9">
        <w:rPr>
          <w:rFonts w:eastAsia="MS Mincho"/>
          <w:spacing w:val="-3"/>
          <w:lang w:val="pt-BR"/>
        </w:rPr>
        <w:t xml:space="preserve"> o </w:t>
      </w:r>
      <w:hyperlink r:id="rId23" w:history="1">
        <w:r w:rsidR="00346660" w:rsidRPr="003F28F9">
          <w:rPr>
            <w:rStyle w:val="Hyperlink"/>
            <w:rFonts w:eastAsia="MS Mincho"/>
            <w:spacing w:val="-3"/>
            <w:lang w:val="pt-BR"/>
          </w:rPr>
          <w:t>encarna@stonejunction.co.uk</w:t>
        </w:r>
      </w:hyperlink>
    </w:p>
    <w:p w14:paraId="5D2DCB61" w14:textId="77777777" w:rsidR="00E03D45" w:rsidRPr="008A6A7A" w:rsidRDefault="00E03D45" w:rsidP="008A6A7A">
      <w:pPr>
        <w:rPr>
          <w:rFonts w:eastAsia="MS Mincho"/>
          <w:spacing w:val="-3"/>
          <w:lang w:val="de-DE"/>
        </w:rPr>
      </w:pPr>
      <w:r w:rsidRPr="00F603CF">
        <w:rPr>
          <w:rFonts w:eastAsia="MS Mincho"/>
          <w:b/>
          <w:bCs/>
          <w:color w:val="4472C4"/>
          <w:lang w:val="de-DE"/>
        </w:rPr>
        <w:t xml:space="preserve">www: </w:t>
      </w:r>
      <w:hyperlink r:id="rId24" w:history="1">
        <w:r w:rsidRPr="008A6A7A">
          <w:rPr>
            <w:rStyle w:val="Hyperlink"/>
            <w:rFonts w:eastAsia="MS Mincho" w:cs="Arial"/>
            <w:spacing w:val="-3"/>
            <w:lang w:val="de-DE"/>
          </w:rPr>
          <w:t>www.stonejunction.co.uk</w:t>
        </w:r>
      </w:hyperlink>
      <w:r w:rsidRPr="008A6A7A">
        <w:rPr>
          <w:rFonts w:eastAsia="MS Mincho"/>
          <w:spacing w:val="-3"/>
          <w:lang w:val="de-DE"/>
        </w:rPr>
        <w:t xml:space="preserve">  </w:t>
      </w:r>
    </w:p>
    <w:p w14:paraId="5D2DCB62" w14:textId="77777777" w:rsidR="00E03D45" w:rsidRPr="008A6A7A" w:rsidRDefault="00E03D45" w:rsidP="008A6A7A">
      <w:pPr>
        <w:rPr>
          <w:rFonts w:eastAsia="MS Mincho"/>
          <w:b/>
          <w:bCs/>
          <w:color w:val="CC0000"/>
          <w:spacing w:val="-3"/>
          <w:lang w:val="de-DE"/>
        </w:rPr>
      </w:pPr>
      <w:r w:rsidRPr="00F603CF">
        <w:rPr>
          <w:rFonts w:eastAsia="MS Mincho"/>
          <w:b/>
          <w:bCs/>
          <w:color w:val="4472C4"/>
          <w:lang w:val="de-DE"/>
        </w:rPr>
        <w:t xml:space="preserve">Blog: </w:t>
      </w:r>
      <w:hyperlink r:id="rId25" w:history="1">
        <w:r w:rsidRPr="008A6A7A">
          <w:rPr>
            <w:rStyle w:val="Hyperlink"/>
            <w:rFonts w:eastAsia="MS Mincho" w:cs="Arial"/>
            <w:bCs/>
            <w:spacing w:val="-3"/>
            <w:lang w:val="de-DE"/>
          </w:rPr>
          <w:t>www.stone-junction.blogspot.</w:t>
        </w:r>
      </w:hyperlink>
      <w:r w:rsidRPr="008A6A7A">
        <w:rPr>
          <w:rFonts w:eastAsia="MS Mincho"/>
          <w:b/>
          <w:bCs/>
          <w:color w:val="CC0000"/>
          <w:spacing w:val="-3"/>
          <w:lang w:val="de-DE"/>
        </w:rPr>
        <w:t xml:space="preserve">com </w:t>
      </w:r>
    </w:p>
    <w:p w14:paraId="5D2DCB63" w14:textId="77777777" w:rsidR="00E03D45" w:rsidRPr="008A6A7A" w:rsidRDefault="00E03D45" w:rsidP="008A6A7A">
      <w:pPr>
        <w:rPr>
          <w:rFonts w:eastAsia="MS Mincho"/>
          <w:bCs/>
          <w:color w:val="002060"/>
          <w:spacing w:val="-3"/>
        </w:rPr>
      </w:pPr>
      <w:r w:rsidRPr="00F603CF">
        <w:rPr>
          <w:rFonts w:eastAsia="MS Mincho"/>
          <w:b/>
          <w:bCs/>
          <w:color w:val="4472C4"/>
        </w:rPr>
        <w:t xml:space="preserve">Twitter: </w:t>
      </w:r>
      <w:hyperlink r:id="rId26" w:history="1">
        <w:r w:rsidRPr="008A6A7A">
          <w:rPr>
            <w:rStyle w:val="Hyperlink"/>
            <w:rFonts w:eastAsia="MS Mincho" w:cs="Arial"/>
            <w:bCs/>
            <w:spacing w:val="-3"/>
          </w:rPr>
          <w:t>www.twitter.com/StoneJunctionPR</w:t>
        </w:r>
      </w:hyperlink>
    </w:p>
    <w:p w14:paraId="5D2DCB64" w14:textId="77777777" w:rsidR="00E03D45" w:rsidRPr="008A6A7A" w:rsidRDefault="00E03D45" w:rsidP="008A6A7A">
      <w:pPr>
        <w:rPr>
          <w:rFonts w:eastAsia="MS Mincho"/>
          <w:bCs/>
          <w:color w:val="002060"/>
          <w:spacing w:val="-3"/>
        </w:rPr>
      </w:pPr>
      <w:r w:rsidRPr="00F603CF">
        <w:rPr>
          <w:rFonts w:eastAsia="MS Mincho"/>
          <w:b/>
          <w:bCs/>
          <w:color w:val="4472C4"/>
        </w:rPr>
        <w:t>Facebook</w:t>
      </w:r>
      <w:r w:rsidRPr="00F603CF">
        <w:rPr>
          <w:rFonts w:eastAsia="MS Mincho"/>
          <w:b/>
          <w:bCs/>
          <w:color w:val="4472C4"/>
          <w:spacing w:val="-3"/>
        </w:rPr>
        <w:t xml:space="preserve">: </w:t>
      </w:r>
      <w:hyperlink r:id="rId27" w:history="1">
        <w:r w:rsidRPr="008A6A7A">
          <w:rPr>
            <w:rStyle w:val="Hyperlink"/>
            <w:rFonts w:eastAsia="MS Mincho" w:cs="Arial"/>
          </w:rPr>
          <w:t>http://www.facebook.com/technicalPR</w:t>
        </w:r>
      </w:hyperlink>
    </w:p>
    <w:p w14:paraId="5D2DCB65" w14:textId="77777777" w:rsidR="00E03D45" w:rsidRPr="008A6A7A" w:rsidRDefault="00E03D45" w:rsidP="008A6A7A">
      <w:pPr>
        <w:rPr>
          <w:rFonts w:eastAsia="MS Mincho"/>
          <w:b/>
          <w:bCs/>
          <w:color w:val="002060"/>
          <w:spacing w:val="-3"/>
          <w:lang w:val="de-DE"/>
        </w:rPr>
      </w:pPr>
      <w:r w:rsidRPr="00F603CF">
        <w:rPr>
          <w:rFonts w:eastAsia="MS Mincho"/>
          <w:b/>
          <w:bCs/>
          <w:color w:val="4472C4"/>
          <w:lang w:val="de-DE"/>
        </w:rPr>
        <w:t xml:space="preserve">LinkedIn: </w:t>
      </w:r>
      <w:hyperlink r:id="rId28" w:history="1">
        <w:r w:rsidRPr="008A6A7A">
          <w:rPr>
            <w:rStyle w:val="Hyperlink"/>
            <w:rFonts w:eastAsia="MS Mincho" w:cs="Arial"/>
            <w:lang w:val="de-DE"/>
          </w:rPr>
          <w:t>https://www.linkedin.com/company/stone-junction-ltd</w:t>
        </w:r>
      </w:hyperlink>
    </w:p>
    <w:p w14:paraId="5D2DCB66" w14:textId="77777777" w:rsidR="00E03D45" w:rsidRPr="008A6A7A" w:rsidRDefault="00E03D45" w:rsidP="008A6A7A">
      <w:pPr>
        <w:rPr>
          <w:rFonts w:eastAsia="MS Mincho"/>
          <w:b/>
          <w:bCs/>
          <w:color w:val="439639"/>
          <w:lang w:val="de-DE"/>
        </w:rPr>
      </w:pPr>
    </w:p>
    <w:p w14:paraId="1884FB81" w14:textId="77777777" w:rsidR="009B5A98" w:rsidRPr="003F28F9" w:rsidRDefault="00382C38" w:rsidP="009B5A98">
      <w:pPr>
        <w:pStyle w:val="NormalWeb"/>
        <w:jc w:val="both"/>
        <w:rPr>
          <w:rFonts w:ascii="Arial" w:hAnsi="Arial" w:cs="Arial"/>
          <w:lang w:val="es-ES"/>
        </w:rPr>
      </w:pPr>
      <w:r w:rsidRPr="003F28F9">
        <w:rPr>
          <w:rFonts w:ascii="Arial" w:eastAsia="MS Mincho" w:hAnsi="Arial" w:cs="Arial"/>
          <w:b/>
          <w:bCs/>
          <w:color w:val="4472C4"/>
          <w:lang w:val="es-ES"/>
        </w:rPr>
        <w:t xml:space="preserve">Acerca de WEG: </w:t>
      </w:r>
      <w:r w:rsidR="009B5A98" w:rsidRPr="003F28F9">
        <w:rPr>
          <w:rFonts w:ascii="Arial" w:hAnsi="Arial" w:cs="Arial"/>
          <w:lang w:val="es-ES"/>
        </w:rPr>
        <w:t>Fundada en 1961, WEG es una empresa global de equipos eléctricos y electrónicos que opera principalmente en el sector de bienes de capital con soluciones en máquinas eléctricas, automatización y pinturas para diversos sectores, entre ellos infraestructura, acero, pulpa y papel, petróleo y gas, minería, entre muchos otros.</w:t>
      </w:r>
    </w:p>
    <w:p w14:paraId="5D2DCB69" w14:textId="36C22C97" w:rsidR="008A6A7A" w:rsidRPr="002110DE" w:rsidRDefault="009B5A98" w:rsidP="009B5A98">
      <w:pPr>
        <w:pStyle w:val="NormalWeb"/>
        <w:jc w:val="both"/>
        <w:rPr>
          <w:rFonts w:ascii="Arial" w:hAnsi="Arial" w:cs="Arial"/>
        </w:rPr>
      </w:pPr>
      <w:r w:rsidRPr="003F28F9">
        <w:rPr>
          <w:rFonts w:ascii="Arial" w:hAnsi="Arial" w:cs="Arial"/>
          <w:lang w:val="es-ES"/>
        </w:rPr>
        <w:t xml:space="preserve">WEG se destaca en innovación mediante el desarrollo constante de soluciones que atienden las principales tendencias en eficiencia energética, energía renovable y movilidad eléctrica. Con plantas de fabricación en 18 países y presencia en más de 120 países, la empresa cuenta con más de 47.000 empleados en todo el mundo. La facturación neta de WEG alcanzó R$ 38.000 millones en 2024, 57 % de los mercados externos. </w:t>
      </w:r>
      <w:r w:rsidRPr="009B5A98">
        <w:rPr>
          <w:rFonts w:ascii="Arial" w:hAnsi="Arial" w:cs="Arial"/>
        </w:rPr>
        <w:t xml:space="preserve">Para más información, visite </w:t>
      </w:r>
      <w:hyperlink r:id="rId29" w:history="1">
        <w:r w:rsidR="002F0BE7" w:rsidRPr="009B5A98">
          <w:rPr>
            <w:rStyle w:val="Hyperlink"/>
            <w:rFonts w:ascii="Arial" w:hAnsi="Arial" w:cs="Arial"/>
          </w:rPr>
          <w:t>www.weg.net</w:t>
        </w:r>
      </w:hyperlink>
    </w:p>
    <w:p w14:paraId="5D2DCB6A" w14:textId="7C778DB7" w:rsidR="00E03D45" w:rsidRPr="00C8017B" w:rsidRDefault="00E03D45" w:rsidP="2C3AA7ED">
      <w:pPr>
        <w:rPr>
          <w:rFonts w:eastAsia="MS Mincho" w:cs="Arial"/>
          <w:spacing w:val="-3"/>
        </w:rPr>
      </w:pPr>
      <w:r w:rsidRPr="00F603CF">
        <w:rPr>
          <w:rFonts w:eastAsia="MS Mincho" w:cs="Arial"/>
          <w:b/>
          <w:bCs/>
          <w:color w:val="4472C4"/>
        </w:rPr>
        <w:t xml:space="preserve">Ref.: </w:t>
      </w:r>
      <w:r w:rsidR="006647B9">
        <w:rPr>
          <w:rFonts w:eastAsia="MS Mincho" w:cs="Arial"/>
          <w:spacing w:val="-3"/>
        </w:rPr>
        <w:t>WEG1356/</w:t>
      </w:r>
      <w:r w:rsidR="005F1862">
        <w:rPr>
          <w:rFonts w:eastAsia="MS Mincho" w:cs="Arial"/>
          <w:spacing w:val="-3"/>
        </w:rPr>
        <w:t>10</w:t>
      </w:r>
      <w:r w:rsidR="006647B9">
        <w:rPr>
          <w:rFonts w:eastAsia="MS Mincho" w:cs="Arial"/>
          <w:spacing w:val="-3"/>
        </w:rPr>
        <w:t>/25</w:t>
      </w:r>
    </w:p>
    <w:p w14:paraId="5D2DCB6B" w14:textId="77777777" w:rsidR="00B86E1F" w:rsidRPr="005076D1" w:rsidRDefault="00B86E1F" w:rsidP="00E03D45">
      <w:pPr>
        <w:rPr>
          <w:rFonts w:eastAsia="MS Mincho" w:cs="Arial"/>
          <w:b/>
          <w:color w:val="CC3300"/>
          <w:spacing w:val="-3"/>
        </w:rPr>
      </w:pPr>
    </w:p>
    <w:sectPr w:rsidR="00B86E1F" w:rsidRPr="005076D1" w:rsidSect="006B046B">
      <w:headerReference w:type="first" r:id="rId30"/>
      <w:pgSz w:w="12240" w:h="15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AEF523" w14:textId="77777777" w:rsidR="00BA3EBD" w:rsidRDefault="00BA3EBD" w:rsidP="00C0175F">
      <w:r>
        <w:separator/>
      </w:r>
    </w:p>
  </w:endnote>
  <w:endnote w:type="continuationSeparator" w:id="0">
    <w:p w14:paraId="02AE72D9" w14:textId="77777777" w:rsidR="00BA3EBD" w:rsidRDefault="00BA3EBD" w:rsidP="00C0175F">
      <w:r>
        <w:continuationSeparator/>
      </w:r>
    </w:p>
  </w:endnote>
  <w:endnote w:type="continuationNotice" w:id="1">
    <w:p w14:paraId="2290328B" w14:textId="77777777" w:rsidR="00BA3EBD" w:rsidRDefault="00BA3EB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DAD0A4" w14:textId="77777777" w:rsidR="00BA3EBD" w:rsidRDefault="00BA3EBD" w:rsidP="00C0175F">
      <w:r>
        <w:separator/>
      </w:r>
    </w:p>
  </w:footnote>
  <w:footnote w:type="continuationSeparator" w:id="0">
    <w:p w14:paraId="667DFA60" w14:textId="77777777" w:rsidR="00BA3EBD" w:rsidRDefault="00BA3EBD" w:rsidP="00C0175F">
      <w:r>
        <w:continuationSeparator/>
      </w:r>
    </w:p>
  </w:footnote>
  <w:footnote w:type="continuationNotice" w:id="1">
    <w:p w14:paraId="0289B076" w14:textId="77777777" w:rsidR="00BA3EBD" w:rsidRDefault="00BA3EB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2DCB72" w14:textId="77777777" w:rsidR="00C0175F" w:rsidRDefault="00C0175F" w:rsidP="006D0EBA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FE41DF"/>
    <w:multiLevelType w:val="multilevel"/>
    <w:tmpl w:val="8C307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D9B13D8"/>
    <w:multiLevelType w:val="multilevel"/>
    <w:tmpl w:val="E3446938"/>
    <w:lvl w:ilvl="0">
      <w:numFmt w:val="bullet"/>
      <w:lvlText w:val="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"/>
      <w:lvlJc w:val="left"/>
      <w:pPr>
        <w:ind w:left="1440" w:hanging="360"/>
      </w:pPr>
      <w:rPr>
        <w:rFonts w:ascii="Wingdings" w:hAnsi="Wingdings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678776520">
    <w:abstractNumId w:val="1"/>
  </w:num>
  <w:num w:numId="2" w16cid:durableId="15599728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pt-BR" w:vendorID="64" w:dllVersion="6" w:nlCheck="1" w:checkStyle="0"/>
  <w:activeWritingStyle w:appName="MSWord" w:lang="en-GB" w:vendorID="64" w:dllVersion="6" w:nlCheck="1" w:checkStyle="1"/>
  <w:activeWritingStyle w:appName="MSWord" w:lang="es-ES" w:vendorID="64" w:dllVersion="6" w:nlCheck="1" w:checkStyle="1"/>
  <w:activeWritingStyle w:appName="MSWord" w:lang="en-US" w:vendorID="64" w:dllVersion="6" w:nlCheck="1" w:checkStyle="1"/>
  <w:activeWritingStyle w:appName="MSWord" w:lang="es-ES" w:vendorID="64" w:dllVersion="0" w:nlCheck="1" w:checkStyle="0"/>
  <w:activeWritingStyle w:appName="MSWord" w:lang="en-GB" w:vendorID="64" w:dllVersion="0" w:nlCheck="1" w:checkStyle="0"/>
  <w:activeWritingStyle w:appName="MSWord" w:lang="de-DE" w:vendorID="64" w:dllVersion="0" w:nlCheck="1" w:checkStyle="0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46FD"/>
    <w:rsid w:val="000014E0"/>
    <w:rsid w:val="000015D4"/>
    <w:rsid w:val="000056BF"/>
    <w:rsid w:val="00012707"/>
    <w:rsid w:val="0001616C"/>
    <w:rsid w:val="000175EA"/>
    <w:rsid w:val="00020F1B"/>
    <w:rsid w:val="000245BC"/>
    <w:rsid w:val="00026AC2"/>
    <w:rsid w:val="00027D32"/>
    <w:rsid w:val="00040DD5"/>
    <w:rsid w:val="0004179E"/>
    <w:rsid w:val="00045BF8"/>
    <w:rsid w:val="0005012E"/>
    <w:rsid w:val="000526F8"/>
    <w:rsid w:val="00065E72"/>
    <w:rsid w:val="0006726E"/>
    <w:rsid w:val="00070530"/>
    <w:rsid w:val="0007096F"/>
    <w:rsid w:val="0007138D"/>
    <w:rsid w:val="000B34B8"/>
    <w:rsid w:val="000B551A"/>
    <w:rsid w:val="000B7DB7"/>
    <w:rsid w:val="000B7E0B"/>
    <w:rsid w:val="000C2851"/>
    <w:rsid w:val="000D2F2C"/>
    <w:rsid w:val="000D6C36"/>
    <w:rsid w:val="000E3BAF"/>
    <w:rsid w:val="000E4F19"/>
    <w:rsid w:val="000F4996"/>
    <w:rsid w:val="000F6641"/>
    <w:rsid w:val="000F78F9"/>
    <w:rsid w:val="0010339A"/>
    <w:rsid w:val="00115C59"/>
    <w:rsid w:val="00116481"/>
    <w:rsid w:val="00125AD5"/>
    <w:rsid w:val="00125BDE"/>
    <w:rsid w:val="0013484A"/>
    <w:rsid w:val="0014217A"/>
    <w:rsid w:val="00147A69"/>
    <w:rsid w:val="00155C9B"/>
    <w:rsid w:val="0015770D"/>
    <w:rsid w:val="001607F8"/>
    <w:rsid w:val="00165FE6"/>
    <w:rsid w:val="00166954"/>
    <w:rsid w:val="001678A9"/>
    <w:rsid w:val="001749B1"/>
    <w:rsid w:val="00175E58"/>
    <w:rsid w:val="001909FB"/>
    <w:rsid w:val="001A77B6"/>
    <w:rsid w:val="001A7ADF"/>
    <w:rsid w:val="001B2D8F"/>
    <w:rsid w:val="001B4BD5"/>
    <w:rsid w:val="001B61A8"/>
    <w:rsid w:val="001C062A"/>
    <w:rsid w:val="001C4B73"/>
    <w:rsid w:val="001C7F72"/>
    <w:rsid w:val="001D1AB7"/>
    <w:rsid w:val="001D2088"/>
    <w:rsid w:val="001D6804"/>
    <w:rsid w:val="001E3162"/>
    <w:rsid w:val="001E32F9"/>
    <w:rsid w:val="001F0096"/>
    <w:rsid w:val="001F0383"/>
    <w:rsid w:val="001F1A17"/>
    <w:rsid w:val="001F7DE2"/>
    <w:rsid w:val="002110DE"/>
    <w:rsid w:val="00222C63"/>
    <w:rsid w:val="002255DC"/>
    <w:rsid w:val="00234F5E"/>
    <w:rsid w:val="002362E2"/>
    <w:rsid w:val="002364FB"/>
    <w:rsid w:val="00246A81"/>
    <w:rsid w:val="00251205"/>
    <w:rsid w:val="00260C2B"/>
    <w:rsid w:val="002717FF"/>
    <w:rsid w:val="0027253E"/>
    <w:rsid w:val="002729EE"/>
    <w:rsid w:val="00274F72"/>
    <w:rsid w:val="002863CC"/>
    <w:rsid w:val="002867CE"/>
    <w:rsid w:val="002A1459"/>
    <w:rsid w:val="002A4040"/>
    <w:rsid w:val="002B21C0"/>
    <w:rsid w:val="002B2F32"/>
    <w:rsid w:val="002B5A47"/>
    <w:rsid w:val="002C75A8"/>
    <w:rsid w:val="002D5450"/>
    <w:rsid w:val="002D6725"/>
    <w:rsid w:val="002E58A3"/>
    <w:rsid w:val="002E64D3"/>
    <w:rsid w:val="002F0BE7"/>
    <w:rsid w:val="002F47A0"/>
    <w:rsid w:val="002F6CE0"/>
    <w:rsid w:val="0030281F"/>
    <w:rsid w:val="00302AA3"/>
    <w:rsid w:val="00306239"/>
    <w:rsid w:val="00307A54"/>
    <w:rsid w:val="0031162E"/>
    <w:rsid w:val="00315109"/>
    <w:rsid w:val="0031762E"/>
    <w:rsid w:val="003207DC"/>
    <w:rsid w:val="0032082F"/>
    <w:rsid w:val="00320F66"/>
    <w:rsid w:val="00344292"/>
    <w:rsid w:val="00344857"/>
    <w:rsid w:val="00346660"/>
    <w:rsid w:val="00351818"/>
    <w:rsid w:val="00352444"/>
    <w:rsid w:val="003556A7"/>
    <w:rsid w:val="00364576"/>
    <w:rsid w:val="003646FD"/>
    <w:rsid w:val="003665B2"/>
    <w:rsid w:val="003708FC"/>
    <w:rsid w:val="00382C38"/>
    <w:rsid w:val="00387BB5"/>
    <w:rsid w:val="003908E7"/>
    <w:rsid w:val="00394EB5"/>
    <w:rsid w:val="00396D46"/>
    <w:rsid w:val="003A7BBA"/>
    <w:rsid w:val="003D3460"/>
    <w:rsid w:val="003D76E9"/>
    <w:rsid w:val="003E5474"/>
    <w:rsid w:val="003F0E0E"/>
    <w:rsid w:val="003F19AA"/>
    <w:rsid w:val="003F28F9"/>
    <w:rsid w:val="003F450E"/>
    <w:rsid w:val="003F60C7"/>
    <w:rsid w:val="004046B9"/>
    <w:rsid w:val="00413C4E"/>
    <w:rsid w:val="004225DF"/>
    <w:rsid w:val="00425F25"/>
    <w:rsid w:val="00427E58"/>
    <w:rsid w:val="004320E6"/>
    <w:rsid w:val="004409B3"/>
    <w:rsid w:val="00440AEA"/>
    <w:rsid w:val="00453CA5"/>
    <w:rsid w:val="00462AF9"/>
    <w:rsid w:val="00463485"/>
    <w:rsid w:val="0047693A"/>
    <w:rsid w:val="00477E6B"/>
    <w:rsid w:val="00480C2D"/>
    <w:rsid w:val="00492E4F"/>
    <w:rsid w:val="004948DB"/>
    <w:rsid w:val="004A232F"/>
    <w:rsid w:val="004A2AA0"/>
    <w:rsid w:val="004A2D18"/>
    <w:rsid w:val="004B103B"/>
    <w:rsid w:val="004B1472"/>
    <w:rsid w:val="004B3439"/>
    <w:rsid w:val="004C17D0"/>
    <w:rsid w:val="004C5981"/>
    <w:rsid w:val="004C74A1"/>
    <w:rsid w:val="004D1123"/>
    <w:rsid w:val="004E7C2F"/>
    <w:rsid w:val="00500E9F"/>
    <w:rsid w:val="005041DF"/>
    <w:rsid w:val="005076D1"/>
    <w:rsid w:val="00522573"/>
    <w:rsid w:val="00522B93"/>
    <w:rsid w:val="00524B55"/>
    <w:rsid w:val="005306F9"/>
    <w:rsid w:val="0053552D"/>
    <w:rsid w:val="00543050"/>
    <w:rsid w:val="00546DF3"/>
    <w:rsid w:val="00551987"/>
    <w:rsid w:val="0055770A"/>
    <w:rsid w:val="0056657B"/>
    <w:rsid w:val="00566621"/>
    <w:rsid w:val="0056701B"/>
    <w:rsid w:val="00575480"/>
    <w:rsid w:val="00580101"/>
    <w:rsid w:val="00590050"/>
    <w:rsid w:val="005973B5"/>
    <w:rsid w:val="005A2478"/>
    <w:rsid w:val="005A5B1B"/>
    <w:rsid w:val="005A7D16"/>
    <w:rsid w:val="005B4041"/>
    <w:rsid w:val="005B4319"/>
    <w:rsid w:val="005C04ED"/>
    <w:rsid w:val="005C3A2D"/>
    <w:rsid w:val="005C3DF8"/>
    <w:rsid w:val="005C62B1"/>
    <w:rsid w:val="005C72BE"/>
    <w:rsid w:val="005F0A68"/>
    <w:rsid w:val="005F1862"/>
    <w:rsid w:val="00602083"/>
    <w:rsid w:val="0061053B"/>
    <w:rsid w:val="006154AA"/>
    <w:rsid w:val="00616DBD"/>
    <w:rsid w:val="0061772F"/>
    <w:rsid w:val="006320A8"/>
    <w:rsid w:val="00633B76"/>
    <w:rsid w:val="0064285E"/>
    <w:rsid w:val="00645B22"/>
    <w:rsid w:val="00650DAF"/>
    <w:rsid w:val="0065337D"/>
    <w:rsid w:val="0066181F"/>
    <w:rsid w:val="006637F9"/>
    <w:rsid w:val="00663E6A"/>
    <w:rsid w:val="006647B9"/>
    <w:rsid w:val="00672034"/>
    <w:rsid w:val="006740CF"/>
    <w:rsid w:val="00674598"/>
    <w:rsid w:val="00683D71"/>
    <w:rsid w:val="00685357"/>
    <w:rsid w:val="00685A84"/>
    <w:rsid w:val="00687C41"/>
    <w:rsid w:val="006A1D50"/>
    <w:rsid w:val="006B046B"/>
    <w:rsid w:val="006B7A4C"/>
    <w:rsid w:val="006C324B"/>
    <w:rsid w:val="006C5423"/>
    <w:rsid w:val="006C69D7"/>
    <w:rsid w:val="006D0EBA"/>
    <w:rsid w:val="006E1A57"/>
    <w:rsid w:val="006F08B0"/>
    <w:rsid w:val="006F60C2"/>
    <w:rsid w:val="00700920"/>
    <w:rsid w:val="0070544F"/>
    <w:rsid w:val="00705A1D"/>
    <w:rsid w:val="007077C2"/>
    <w:rsid w:val="007104BF"/>
    <w:rsid w:val="00715FB0"/>
    <w:rsid w:val="00723B57"/>
    <w:rsid w:val="007249C7"/>
    <w:rsid w:val="00726E08"/>
    <w:rsid w:val="00737F3E"/>
    <w:rsid w:val="00741935"/>
    <w:rsid w:val="00744243"/>
    <w:rsid w:val="00745598"/>
    <w:rsid w:val="00756F17"/>
    <w:rsid w:val="00763095"/>
    <w:rsid w:val="00766510"/>
    <w:rsid w:val="007859D9"/>
    <w:rsid w:val="007957B8"/>
    <w:rsid w:val="007A1895"/>
    <w:rsid w:val="007A48E1"/>
    <w:rsid w:val="007A7113"/>
    <w:rsid w:val="007B2663"/>
    <w:rsid w:val="007C08B3"/>
    <w:rsid w:val="007D0F57"/>
    <w:rsid w:val="007D5ADB"/>
    <w:rsid w:val="007E1C8F"/>
    <w:rsid w:val="007E31C3"/>
    <w:rsid w:val="007E49A7"/>
    <w:rsid w:val="007E570F"/>
    <w:rsid w:val="007E5B66"/>
    <w:rsid w:val="007F3F1C"/>
    <w:rsid w:val="00813CC6"/>
    <w:rsid w:val="0081437B"/>
    <w:rsid w:val="00823631"/>
    <w:rsid w:val="00824F29"/>
    <w:rsid w:val="008414B4"/>
    <w:rsid w:val="00850CCC"/>
    <w:rsid w:val="0085607A"/>
    <w:rsid w:val="00856AAC"/>
    <w:rsid w:val="00857350"/>
    <w:rsid w:val="008575DB"/>
    <w:rsid w:val="00866FD4"/>
    <w:rsid w:val="00867116"/>
    <w:rsid w:val="008813E7"/>
    <w:rsid w:val="00885A67"/>
    <w:rsid w:val="008941DC"/>
    <w:rsid w:val="008A1B46"/>
    <w:rsid w:val="008A1B88"/>
    <w:rsid w:val="008A20A6"/>
    <w:rsid w:val="008A6A7A"/>
    <w:rsid w:val="008A73F3"/>
    <w:rsid w:val="008B19F6"/>
    <w:rsid w:val="008C29B8"/>
    <w:rsid w:val="008C42F8"/>
    <w:rsid w:val="008C71E7"/>
    <w:rsid w:val="008D63D5"/>
    <w:rsid w:val="008D7162"/>
    <w:rsid w:val="008E7595"/>
    <w:rsid w:val="008F1A74"/>
    <w:rsid w:val="008F765C"/>
    <w:rsid w:val="00904648"/>
    <w:rsid w:val="00910E33"/>
    <w:rsid w:val="009213B5"/>
    <w:rsid w:val="009236D6"/>
    <w:rsid w:val="00924FCE"/>
    <w:rsid w:val="00934FA8"/>
    <w:rsid w:val="00937F27"/>
    <w:rsid w:val="0095132F"/>
    <w:rsid w:val="009678BA"/>
    <w:rsid w:val="009701B9"/>
    <w:rsid w:val="0098171C"/>
    <w:rsid w:val="00981A09"/>
    <w:rsid w:val="009A4846"/>
    <w:rsid w:val="009A5ED9"/>
    <w:rsid w:val="009A61F9"/>
    <w:rsid w:val="009B5A98"/>
    <w:rsid w:val="009B6A3E"/>
    <w:rsid w:val="009D1D4C"/>
    <w:rsid w:val="009D7744"/>
    <w:rsid w:val="009E6046"/>
    <w:rsid w:val="009F3B76"/>
    <w:rsid w:val="009F5291"/>
    <w:rsid w:val="009F6DBF"/>
    <w:rsid w:val="00A26310"/>
    <w:rsid w:val="00A26393"/>
    <w:rsid w:val="00A33F1E"/>
    <w:rsid w:val="00A35BC1"/>
    <w:rsid w:val="00A60DC8"/>
    <w:rsid w:val="00A65739"/>
    <w:rsid w:val="00A7274D"/>
    <w:rsid w:val="00A832B5"/>
    <w:rsid w:val="00A87784"/>
    <w:rsid w:val="00A942E1"/>
    <w:rsid w:val="00A97965"/>
    <w:rsid w:val="00AE7245"/>
    <w:rsid w:val="00AF280A"/>
    <w:rsid w:val="00AF70B5"/>
    <w:rsid w:val="00B010B1"/>
    <w:rsid w:val="00B02318"/>
    <w:rsid w:val="00B04F8D"/>
    <w:rsid w:val="00B07C5E"/>
    <w:rsid w:val="00B13FB9"/>
    <w:rsid w:val="00B1643C"/>
    <w:rsid w:val="00B1798B"/>
    <w:rsid w:val="00B210A5"/>
    <w:rsid w:val="00B258B4"/>
    <w:rsid w:val="00B310A3"/>
    <w:rsid w:val="00B31F80"/>
    <w:rsid w:val="00B8312E"/>
    <w:rsid w:val="00B83E3D"/>
    <w:rsid w:val="00B85C00"/>
    <w:rsid w:val="00B86129"/>
    <w:rsid w:val="00B86E1F"/>
    <w:rsid w:val="00B900D7"/>
    <w:rsid w:val="00B932AC"/>
    <w:rsid w:val="00B97DCE"/>
    <w:rsid w:val="00BA0BCE"/>
    <w:rsid w:val="00BA3EBD"/>
    <w:rsid w:val="00BA6649"/>
    <w:rsid w:val="00BA6B60"/>
    <w:rsid w:val="00BD0366"/>
    <w:rsid w:val="00BD1859"/>
    <w:rsid w:val="00BF609A"/>
    <w:rsid w:val="00C00639"/>
    <w:rsid w:val="00C0175F"/>
    <w:rsid w:val="00C03BA0"/>
    <w:rsid w:val="00C07DAB"/>
    <w:rsid w:val="00C161E9"/>
    <w:rsid w:val="00C20A04"/>
    <w:rsid w:val="00C34860"/>
    <w:rsid w:val="00C43F23"/>
    <w:rsid w:val="00C4775F"/>
    <w:rsid w:val="00C51D79"/>
    <w:rsid w:val="00C53825"/>
    <w:rsid w:val="00C60552"/>
    <w:rsid w:val="00C6370E"/>
    <w:rsid w:val="00C678F0"/>
    <w:rsid w:val="00C7649D"/>
    <w:rsid w:val="00C777AB"/>
    <w:rsid w:val="00C77839"/>
    <w:rsid w:val="00C8017B"/>
    <w:rsid w:val="00C81A0C"/>
    <w:rsid w:val="00C90BB2"/>
    <w:rsid w:val="00C94AB3"/>
    <w:rsid w:val="00C94B4E"/>
    <w:rsid w:val="00CA0066"/>
    <w:rsid w:val="00CA2F1E"/>
    <w:rsid w:val="00CA611D"/>
    <w:rsid w:val="00CB26E7"/>
    <w:rsid w:val="00CB5356"/>
    <w:rsid w:val="00CC0CD5"/>
    <w:rsid w:val="00CC4372"/>
    <w:rsid w:val="00CE39B3"/>
    <w:rsid w:val="00CF666D"/>
    <w:rsid w:val="00D151AE"/>
    <w:rsid w:val="00D30EEB"/>
    <w:rsid w:val="00D4044C"/>
    <w:rsid w:val="00D476A3"/>
    <w:rsid w:val="00D52945"/>
    <w:rsid w:val="00D560F1"/>
    <w:rsid w:val="00D57F17"/>
    <w:rsid w:val="00D67666"/>
    <w:rsid w:val="00D80086"/>
    <w:rsid w:val="00D84B54"/>
    <w:rsid w:val="00D951A4"/>
    <w:rsid w:val="00DA7B2C"/>
    <w:rsid w:val="00DB57D6"/>
    <w:rsid w:val="00DB75D6"/>
    <w:rsid w:val="00DD324D"/>
    <w:rsid w:val="00DD3693"/>
    <w:rsid w:val="00DE1B48"/>
    <w:rsid w:val="00DE3409"/>
    <w:rsid w:val="00DE6148"/>
    <w:rsid w:val="00DF0295"/>
    <w:rsid w:val="00DF134E"/>
    <w:rsid w:val="00DF190E"/>
    <w:rsid w:val="00DF4536"/>
    <w:rsid w:val="00E008B8"/>
    <w:rsid w:val="00E03BE6"/>
    <w:rsid w:val="00E03D45"/>
    <w:rsid w:val="00E10304"/>
    <w:rsid w:val="00E10654"/>
    <w:rsid w:val="00E13882"/>
    <w:rsid w:val="00E14628"/>
    <w:rsid w:val="00E23A5A"/>
    <w:rsid w:val="00E23DAC"/>
    <w:rsid w:val="00E24FD6"/>
    <w:rsid w:val="00E51996"/>
    <w:rsid w:val="00E527AD"/>
    <w:rsid w:val="00E6736A"/>
    <w:rsid w:val="00E70F9A"/>
    <w:rsid w:val="00E8641C"/>
    <w:rsid w:val="00E866E1"/>
    <w:rsid w:val="00E95A3F"/>
    <w:rsid w:val="00E962D5"/>
    <w:rsid w:val="00E97D1D"/>
    <w:rsid w:val="00EA698B"/>
    <w:rsid w:val="00EB1D2A"/>
    <w:rsid w:val="00EB2DE2"/>
    <w:rsid w:val="00EB4C49"/>
    <w:rsid w:val="00EC19CD"/>
    <w:rsid w:val="00EC4726"/>
    <w:rsid w:val="00EC4B0F"/>
    <w:rsid w:val="00ED0632"/>
    <w:rsid w:val="00EE04DD"/>
    <w:rsid w:val="00EE104B"/>
    <w:rsid w:val="00EE6E5B"/>
    <w:rsid w:val="00EE797A"/>
    <w:rsid w:val="00F15878"/>
    <w:rsid w:val="00F17F77"/>
    <w:rsid w:val="00F21C68"/>
    <w:rsid w:val="00F24E50"/>
    <w:rsid w:val="00F30380"/>
    <w:rsid w:val="00F31E91"/>
    <w:rsid w:val="00F427D9"/>
    <w:rsid w:val="00F42E4C"/>
    <w:rsid w:val="00F43127"/>
    <w:rsid w:val="00F457BF"/>
    <w:rsid w:val="00F54505"/>
    <w:rsid w:val="00F603CF"/>
    <w:rsid w:val="00F65F0B"/>
    <w:rsid w:val="00F668D0"/>
    <w:rsid w:val="00F70B80"/>
    <w:rsid w:val="00F73487"/>
    <w:rsid w:val="00F741DA"/>
    <w:rsid w:val="00F81042"/>
    <w:rsid w:val="00F94624"/>
    <w:rsid w:val="00FA03F5"/>
    <w:rsid w:val="00FA0727"/>
    <w:rsid w:val="00FA3597"/>
    <w:rsid w:val="00FA6964"/>
    <w:rsid w:val="00FB46D1"/>
    <w:rsid w:val="00FC0BB0"/>
    <w:rsid w:val="00FC33CB"/>
    <w:rsid w:val="00FC5459"/>
    <w:rsid w:val="00FC77C4"/>
    <w:rsid w:val="00FD1511"/>
    <w:rsid w:val="00FE0E2B"/>
    <w:rsid w:val="00FE4F39"/>
    <w:rsid w:val="00FF02C6"/>
    <w:rsid w:val="00FF18BF"/>
    <w:rsid w:val="00FF3BEE"/>
    <w:rsid w:val="00FF5788"/>
    <w:rsid w:val="00FF7AFA"/>
    <w:rsid w:val="02AF2F55"/>
    <w:rsid w:val="03ED6613"/>
    <w:rsid w:val="075B1472"/>
    <w:rsid w:val="0B6B70E8"/>
    <w:rsid w:val="0BA02A8F"/>
    <w:rsid w:val="0C5049C6"/>
    <w:rsid w:val="11790588"/>
    <w:rsid w:val="12165C21"/>
    <w:rsid w:val="14B0A64A"/>
    <w:rsid w:val="165485DF"/>
    <w:rsid w:val="16A2BDB9"/>
    <w:rsid w:val="1891EBDE"/>
    <w:rsid w:val="1E01408E"/>
    <w:rsid w:val="2A04431D"/>
    <w:rsid w:val="2C3AA7ED"/>
    <w:rsid w:val="2CD9E1C9"/>
    <w:rsid w:val="322E03D6"/>
    <w:rsid w:val="32A3CAFC"/>
    <w:rsid w:val="367656BB"/>
    <w:rsid w:val="36F44221"/>
    <w:rsid w:val="382AB0F8"/>
    <w:rsid w:val="39CB0F22"/>
    <w:rsid w:val="3A18C36F"/>
    <w:rsid w:val="3E621732"/>
    <w:rsid w:val="410228A1"/>
    <w:rsid w:val="4E7A2952"/>
    <w:rsid w:val="4F3FFB1C"/>
    <w:rsid w:val="50E3833F"/>
    <w:rsid w:val="587C0118"/>
    <w:rsid w:val="5DBCB81B"/>
    <w:rsid w:val="64962319"/>
    <w:rsid w:val="71CCB5BD"/>
    <w:rsid w:val="72209736"/>
    <w:rsid w:val="763169ED"/>
    <w:rsid w:val="763D4819"/>
    <w:rsid w:val="77F68CC3"/>
    <w:rsid w:val="79AAEB7D"/>
    <w:rsid w:val="7F6D7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2DCB3A"/>
  <w15:chartTrackingRefBased/>
  <w15:docId w15:val="{3642AF05-E074-446A-83DD-F971C6B60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46FD"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00D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3646FD"/>
    <w:pPr>
      <w:keepNext/>
      <w:outlineLvl w:val="1"/>
    </w:pPr>
    <w:rPr>
      <w:b/>
      <w:bCs/>
      <w:color w:val="808080"/>
      <w:lang w:val="x-none" w:eastAsia="x-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semiHidden/>
    <w:locked/>
    <w:rsid w:val="003646FD"/>
    <w:rPr>
      <w:rFonts w:ascii="Arial" w:hAnsi="Arial" w:cs="Times New Roman"/>
      <w:b/>
      <w:bCs/>
      <w:color w:val="808080"/>
      <w:sz w:val="24"/>
      <w:szCs w:val="24"/>
    </w:rPr>
  </w:style>
  <w:style w:type="character" w:styleId="Hyperlink">
    <w:name w:val="Hyperlink"/>
    <w:uiPriority w:val="99"/>
    <w:unhideWhenUsed/>
    <w:rsid w:val="003646FD"/>
    <w:rPr>
      <w:rFonts w:cs="Times New Roman"/>
      <w:color w:val="0000FF"/>
      <w:u w:val="single"/>
    </w:rPr>
  </w:style>
  <w:style w:type="paragraph" w:customStyle="1" w:styleId="BodyCopy">
    <w:name w:val="Body Copy"/>
    <w:basedOn w:val="Normal"/>
    <w:rsid w:val="003646FD"/>
    <w:pPr>
      <w:spacing w:before="120" w:after="120" w:line="360" w:lineRule="auto"/>
      <w:jc w:val="both"/>
    </w:pPr>
  </w:style>
  <w:style w:type="paragraph" w:customStyle="1" w:styleId="Introduction">
    <w:name w:val="Introduction"/>
    <w:basedOn w:val="Normal"/>
    <w:rsid w:val="003646FD"/>
    <w:pPr>
      <w:spacing w:before="120" w:after="120" w:line="360" w:lineRule="auto"/>
      <w:jc w:val="both"/>
    </w:pPr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46FD"/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uiPriority w:val="99"/>
    <w:semiHidden/>
    <w:locked/>
    <w:rsid w:val="003646FD"/>
    <w:rPr>
      <w:rFonts w:ascii="Tahoma" w:hAnsi="Tahoma" w:cs="Tahoma"/>
      <w:sz w:val="16"/>
      <w:szCs w:val="16"/>
      <w:lang w:val="en-GB" w:eastAsia="x-none"/>
    </w:rPr>
  </w:style>
  <w:style w:type="paragraph" w:styleId="NormalWeb">
    <w:name w:val="Normal (Web)"/>
    <w:basedOn w:val="Normal"/>
    <w:uiPriority w:val="99"/>
    <w:unhideWhenUsed/>
    <w:rsid w:val="003646FD"/>
    <w:pPr>
      <w:spacing w:before="100" w:beforeAutospacing="1" w:after="100" w:afterAutospacing="1"/>
    </w:pPr>
    <w:rPr>
      <w:rFonts w:ascii="Times New Roman" w:hAnsi="Times New Roman"/>
      <w:lang w:val="en-US"/>
    </w:rPr>
  </w:style>
  <w:style w:type="character" w:customStyle="1" w:styleId="label">
    <w:name w:val="label"/>
    <w:rsid w:val="003646FD"/>
    <w:rPr>
      <w:rFonts w:cs="Times New Roman"/>
    </w:rPr>
  </w:style>
  <w:style w:type="character" w:customStyle="1" w:styleId="detail">
    <w:name w:val="detail"/>
    <w:rsid w:val="003646FD"/>
    <w:rPr>
      <w:rFonts w:cs="Times New Roman"/>
    </w:rPr>
  </w:style>
  <w:style w:type="character" w:customStyle="1" w:styleId="apple-style-span">
    <w:name w:val="apple-style-span"/>
    <w:rsid w:val="00726E08"/>
    <w:rPr>
      <w:rFonts w:cs="Times New Roman"/>
    </w:rPr>
  </w:style>
  <w:style w:type="character" w:styleId="FollowedHyperlink">
    <w:name w:val="FollowedHyperlink"/>
    <w:uiPriority w:val="99"/>
    <w:semiHidden/>
    <w:unhideWhenUsed/>
    <w:rsid w:val="00EE04DD"/>
    <w:rPr>
      <w:color w:val="800080"/>
      <w:u w:val="single"/>
    </w:rPr>
  </w:style>
  <w:style w:type="character" w:customStyle="1" w:styleId="Heading1Char">
    <w:name w:val="Heading 1 Char"/>
    <w:link w:val="Heading1"/>
    <w:uiPriority w:val="9"/>
    <w:rsid w:val="00B900D7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styleId="Strong">
    <w:name w:val="Strong"/>
    <w:uiPriority w:val="22"/>
    <w:qFormat/>
    <w:rsid w:val="00E008B8"/>
    <w:rPr>
      <w:b/>
      <w:bCs/>
    </w:rPr>
  </w:style>
  <w:style w:type="paragraph" w:customStyle="1" w:styleId="intro">
    <w:name w:val="intro"/>
    <w:basedOn w:val="Normal"/>
    <w:rsid w:val="00E008B8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apple-converted-space">
    <w:name w:val="apple-converted-space"/>
    <w:basedOn w:val="DefaultParagraphFont"/>
    <w:rsid w:val="004948DB"/>
  </w:style>
  <w:style w:type="paragraph" w:styleId="Header">
    <w:name w:val="header"/>
    <w:basedOn w:val="Normal"/>
    <w:link w:val="HeaderChar"/>
    <w:uiPriority w:val="99"/>
    <w:unhideWhenUsed/>
    <w:rsid w:val="00C0175F"/>
    <w:pPr>
      <w:tabs>
        <w:tab w:val="center" w:pos="4513"/>
        <w:tab w:val="right" w:pos="9026"/>
      </w:tabs>
    </w:pPr>
    <w:rPr>
      <w:lang w:val="x-none"/>
    </w:rPr>
  </w:style>
  <w:style w:type="character" w:customStyle="1" w:styleId="HeaderChar">
    <w:name w:val="Header Char"/>
    <w:link w:val="Header"/>
    <w:uiPriority w:val="99"/>
    <w:rsid w:val="00C0175F"/>
    <w:rPr>
      <w:rFonts w:ascii="Arial" w:hAnsi="Arial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C0175F"/>
    <w:pPr>
      <w:tabs>
        <w:tab w:val="center" w:pos="4513"/>
        <w:tab w:val="right" w:pos="9026"/>
      </w:tabs>
    </w:pPr>
    <w:rPr>
      <w:lang w:val="x-none"/>
    </w:rPr>
  </w:style>
  <w:style w:type="character" w:customStyle="1" w:styleId="FooterChar">
    <w:name w:val="Footer Char"/>
    <w:link w:val="Footer"/>
    <w:uiPriority w:val="99"/>
    <w:rsid w:val="00C0175F"/>
    <w:rPr>
      <w:rFonts w:ascii="Arial" w:hAnsi="Arial"/>
      <w:sz w:val="24"/>
      <w:szCs w:val="24"/>
      <w:lang w:eastAsia="en-US"/>
    </w:rPr>
  </w:style>
  <w:style w:type="paragraph" w:customStyle="1" w:styleId="wp-body-text---col-p">
    <w:name w:val="wp-body-text---col-p"/>
    <w:basedOn w:val="Normal"/>
    <w:rsid w:val="005076D1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body-text---col-c-c0">
    <w:name w:val="body-text---col-c-c0"/>
    <w:rsid w:val="005076D1"/>
  </w:style>
  <w:style w:type="character" w:customStyle="1" w:styleId="UnresolvedMention1">
    <w:name w:val="Unresolved Mention1"/>
    <w:uiPriority w:val="99"/>
    <w:semiHidden/>
    <w:unhideWhenUsed/>
    <w:rsid w:val="008A6A7A"/>
    <w:rPr>
      <w:color w:val="605E5C"/>
      <w:shd w:val="clear" w:color="auto" w:fill="E1DFDD"/>
    </w:rPr>
  </w:style>
  <w:style w:type="character" w:styleId="Emphasis">
    <w:name w:val="Emphasis"/>
    <w:uiPriority w:val="20"/>
    <w:qFormat/>
    <w:rsid w:val="00DE3409"/>
    <w:rPr>
      <w:i/>
      <w:iCs/>
    </w:rPr>
  </w:style>
  <w:style w:type="character" w:customStyle="1" w:styleId="fragmenttag">
    <w:name w:val="fragment__tag"/>
    <w:rsid w:val="009213B5"/>
  </w:style>
  <w:style w:type="paragraph" w:customStyle="1" w:styleId="size-xxxl">
    <w:name w:val="size-xxxl"/>
    <w:basedOn w:val="Normal"/>
    <w:rsid w:val="009213B5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paragraph" w:customStyle="1" w:styleId="size-xl">
    <w:name w:val="size-xl"/>
    <w:basedOn w:val="Normal"/>
    <w:rsid w:val="009213B5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styleId="CommentReference">
    <w:name w:val="annotation reference"/>
    <w:rsid w:val="000245BC"/>
    <w:rPr>
      <w:sz w:val="16"/>
      <w:szCs w:val="16"/>
    </w:rPr>
  </w:style>
  <w:style w:type="paragraph" w:styleId="CommentText">
    <w:name w:val="annotation text"/>
    <w:basedOn w:val="Normal"/>
    <w:link w:val="CommentTextChar"/>
    <w:rsid w:val="000245BC"/>
    <w:pPr>
      <w:suppressAutoHyphens/>
      <w:autoSpaceDN w:val="0"/>
      <w:spacing w:after="160"/>
      <w:textAlignment w:val="baseline"/>
    </w:pPr>
    <w:rPr>
      <w:rFonts w:ascii="Calibri" w:eastAsia="Calibri" w:hAnsi="Calibri"/>
      <w:sz w:val="20"/>
      <w:szCs w:val="20"/>
    </w:rPr>
  </w:style>
  <w:style w:type="character" w:customStyle="1" w:styleId="CommentTextChar">
    <w:name w:val="Comment Text Char"/>
    <w:link w:val="CommentText"/>
    <w:rsid w:val="000245BC"/>
    <w:rPr>
      <w:rFonts w:eastAsia="Calibri"/>
      <w:lang w:eastAsia="en-US"/>
    </w:rPr>
  </w:style>
  <w:style w:type="paragraph" w:styleId="Revision">
    <w:name w:val="Revision"/>
    <w:hidden/>
    <w:uiPriority w:val="99"/>
    <w:semiHidden/>
    <w:rsid w:val="00FF7AFA"/>
    <w:rPr>
      <w:rFonts w:ascii="Arial" w:hAnsi="Arial"/>
      <w:sz w:val="24"/>
      <w:szCs w:val="24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932AC"/>
    <w:pPr>
      <w:suppressAutoHyphens w:val="0"/>
      <w:autoSpaceDN/>
      <w:spacing w:after="0"/>
      <w:textAlignment w:val="auto"/>
    </w:pPr>
    <w:rPr>
      <w:rFonts w:ascii="Arial" w:eastAsia="Times New Roman" w:hAnsi="Arial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932AC"/>
    <w:rPr>
      <w:rFonts w:ascii="Arial" w:eastAsia="Calibri" w:hAnsi="Arial"/>
      <w:b/>
      <w:bCs/>
      <w:lang w:eastAsia="en-US"/>
    </w:rPr>
  </w:style>
  <w:style w:type="paragraph" w:customStyle="1" w:styleId="pf0">
    <w:name w:val="pf0"/>
    <w:basedOn w:val="Normal"/>
    <w:rsid w:val="007E570F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cf01">
    <w:name w:val="cf01"/>
    <w:basedOn w:val="DefaultParagraphFont"/>
    <w:rsid w:val="007E570F"/>
    <w:rPr>
      <w:rFonts w:ascii="Segoe UI" w:hAnsi="Segoe UI" w:cs="Segoe UI" w:hint="default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427E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74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5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64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2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06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5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98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25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6240">
          <w:marLeft w:val="0"/>
          <w:marRight w:val="0"/>
          <w:marTop w:val="0"/>
          <w:marBottom w:val="630"/>
          <w:divBdr>
            <w:top w:val="single" w:sz="6" w:space="0" w:color="797874"/>
            <w:left w:val="none" w:sz="0" w:space="0" w:color="797874"/>
            <w:bottom w:val="single" w:sz="12" w:space="0" w:color="797874"/>
            <w:right w:val="none" w:sz="0" w:space="0" w:color="797874"/>
          </w:divBdr>
          <w:divsChild>
            <w:div w:id="137724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717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228544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515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3000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819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937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8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93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8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4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1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4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1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0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6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weg.net/catalog/weg/GB/en/Industrial-Automation/Remote-Units/Remote-Unit-RUW100/Remote-unit-RUW100-00/p/14809912?utm_source=google&amp;utm_medium=article&amp;utm_campaign=WEG1356&amp;utm_id=PLC201&amp;utm_term=product&amp;utm_content=Earned" TargetMode="External"/><Relationship Id="rId18" Type="http://schemas.openxmlformats.org/officeDocument/2006/relationships/hyperlink" Target="https://www.weg.net/institutional/ES/en/" TargetMode="External"/><Relationship Id="rId26" Type="http://schemas.openxmlformats.org/officeDocument/2006/relationships/hyperlink" Target="http://www.twitter.com/StoneJunctionPR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mailto:info@weg.net" TargetMode="External"/><Relationship Id="rId7" Type="http://schemas.openxmlformats.org/officeDocument/2006/relationships/webSettings" Target="webSettings.xml"/><Relationship Id="rId12" Type="http://schemas.openxmlformats.org/officeDocument/2006/relationships/hyperlink" Target="https://www.weg.net/catalog/weg/GB/en/Industrial-Automation/Programmable-Logic-Controllers-%28PLC%29/PLC20X-Programmable-Logic-Controller/PROGRAMMABLE-CONTROLLER-PLC200/p/17393248?utm_source=google&amp;utm_medium=article&amp;utm_campaign=WEG1356&amp;utm_id=PLC200&amp;utm_term=PLC200&amp;utm_content=Earned" TargetMode="External"/><Relationship Id="rId17" Type="http://schemas.openxmlformats.org/officeDocument/2006/relationships/hyperlink" Target="https://www.weg.net/catalog/weg/BE/en/Drives/Software/Tools/WEG-Programming-Suite-%28WPS%29/WPS-Software/p/MKT_WDC_GLOBAL_SOFTWARE_WPS?utm_source=google&amp;utm_medium=article&amp;utm_campaign=WEG1356&amp;utm_id=PLC201&amp;utm_term=software&amp;utm_content=Earned" TargetMode="External"/><Relationship Id="rId25" Type="http://schemas.openxmlformats.org/officeDocument/2006/relationships/hyperlink" Target="http://www.stone-junction.blogspot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weg.net/catalog/weg/BE/en/Drives/Software/Tools/WEG-Programming-Suite-%28WPS%29/WPS-Software/p/MKT_WDC_GLOBAL_SOFTWARE_WPS?utm_source=google&amp;utm_medium=article&amp;utm_campaign=WEG1356&amp;utm_id=PLC201&amp;utm_term=software&amp;utm_content=Earned" TargetMode="External"/><Relationship Id="rId20" Type="http://schemas.openxmlformats.org/officeDocument/2006/relationships/hyperlink" Target="http://www.weg.net/" TargetMode="External"/><Relationship Id="rId29" Type="http://schemas.openxmlformats.org/officeDocument/2006/relationships/hyperlink" Target="http://www.weg.net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weg.net/institutional/GB/en/?utm_source=google&amp;utm_medium=article&amp;utm_campaign=WEG1356&amp;utm_id=PLC201&amp;utm_term=PLC500&amp;utm_content=Earned" TargetMode="External"/><Relationship Id="rId24" Type="http://schemas.openxmlformats.org/officeDocument/2006/relationships/hyperlink" Target="http://www.stonejunction.co.uk/" TargetMode="External"/><Relationship Id="rId32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hyperlink" Target="https://www.weg.net/catalog/weg/GB/en/Industrial-Automation/Programmable-Logic-Controllers-%28PLC%29/PLC500-Programmable-Logic-Controller/PROGRAMMABLE-CONTROLLER-PLC500/p/16034585?utm_source=google&amp;utm_medium=article&amp;utm_campaign=WEG1356&amp;utm_id=PLC201&amp;utm_term=PLC500&amp;utm_content=Earned" TargetMode="External"/><Relationship Id="rId23" Type="http://schemas.openxmlformats.org/officeDocument/2006/relationships/hyperlink" Target="mailto:encarna@stonejunction.co.uk" TargetMode="External"/><Relationship Id="rId28" Type="http://schemas.openxmlformats.org/officeDocument/2006/relationships/hyperlink" Target="https://www.linkedin.com/company/stone-junction-ltd" TargetMode="External"/><Relationship Id="rId10" Type="http://schemas.openxmlformats.org/officeDocument/2006/relationships/image" Target="media/image1.jpg"/><Relationship Id="rId19" Type="http://schemas.openxmlformats.org/officeDocument/2006/relationships/hyperlink" Target="https://www.weg.net/institutional/MR/en/all-news/all" TargetMode="External"/><Relationship Id="rId31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ww.weg.net/catalog/weg/GB/en/Industrial-Automation/Programmable-Logic-Controllers-%28PLC%29/PLC410-Programmable-Logic-Controller/PROGRAMMABLE-CONTROLLER-PLC410/p/16974024?utm_source=google&amp;utm_medium=article&amp;utm_campaign=WEG1356&amp;utm_id=PLC201&amp;utm_term=PLC410&amp;utm_content=Earned" TargetMode="External"/><Relationship Id="rId22" Type="http://schemas.openxmlformats.org/officeDocument/2006/relationships/hyperlink" Target="mailto:stephanie@stonejunction.co.uk" TargetMode="External"/><Relationship Id="rId27" Type="http://schemas.openxmlformats.org/officeDocument/2006/relationships/hyperlink" Target="http://www.facebook.com/technicalPR" TargetMode="External"/><Relationship Id="rId3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B590B2C076D34293AC619A9DEC14B8" ma:contentTypeVersion="19" ma:contentTypeDescription="Create a new document." ma:contentTypeScope="" ma:versionID="3b5d16dadad0d7349a459a46726c1438">
  <xsd:schema xmlns:xsd="http://www.w3.org/2001/XMLSchema" xmlns:xs="http://www.w3.org/2001/XMLSchema" xmlns:p="http://schemas.microsoft.com/office/2006/metadata/properties" xmlns:ns2="83137320-08c7-41f4-8e31-d7d186c713fc" xmlns:ns3="57045ca7-eb12-4a0b-9112-d762b432b210" targetNamespace="http://schemas.microsoft.com/office/2006/metadata/properties" ma:root="true" ma:fieldsID="8e54fe00033ca8b7038bb1ad70ca9e7b" ns2:_="" ns3:_="">
    <xsd:import namespace="83137320-08c7-41f4-8e31-d7d186c713fc"/>
    <xsd:import namespace="57045ca7-eb12-4a0b-9112-d762b432b2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137320-08c7-41f4-8e31-d7d186c713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42d73ae-c86d-48f5-817e-1ea5624ba4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045ca7-eb12-4a0b-9112-d762b432b21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45489b6-b086-4647-ac7b-3ba5c666b1ab}" ma:internalName="TaxCatchAll" ma:showField="CatchAllData" ma:web="57045ca7-eb12-4a0b-9112-d762b432b2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3137320-08c7-41f4-8e31-d7d186c713fc">
      <Terms xmlns="http://schemas.microsoft.com/office/infopath/2007/PartnerControls"/>
    </lcf76f155ced4ddcb4097134ff3c332f>
    <TaxCatchAll xmlns="57045ca7-eb12-4a0b-9112-d762b432b210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55919D4-5AD1-46BF-B7B8-26270E1CD30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137320-08c7-41f4-8e31-d7d186c713fc"/>
    <ds:schemaRef ds:uri="57045ca7-eb12-4a0b-9112-d762b432b2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AF1FB19-CD7E-4E2F-9987-FFFA38A88A46}">
  <ds:schemaRefs>
    <ds:schemaRef ds:uri="http://schemas.microsoft.com/office/2006/metadata/properties"/>
    <ds:schemaRef ds:uri="http://schemas.microsoft.com/office/infopath/2007/PartnerControls"/>
    <ds:schemaRef ds:uri="83137320-08c7-41f4-8e31-d7d186c713fc"/>
    <ds:schemaRef ds:uri="57045ca7-eb12-4a0b-9112-d762b432b210"/>
  </ds:schemaRefs>
</ds:datastoreItem>
</file>

<file path=customXml/itemProps3.xml><?xml version="1.0" encoding="utf-8"?>
<ds:datastoreItem xmlns:ds="http://schemas.openxmlformats.org/officeDocument/2006/customXml" ds:itemID="{9671A216-631C-46F5-BA3A-9DF47FC1241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1232</Words>
  <Characters>7024</Characters>
  <Application>Microsoft Office Word</Application>
  <DocSecurity>0</DocSecurity>
  <Lines>58</Lines>
  <Paragraphs>16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RS002</dc:creator>
  <cp:keywords>, docId:03D2477E5EB25D75BFEE6DBDB466D90A</cp:keywords>
  <cp:lastModifiedBy>Encarna Nunez</cp:lastModifiedBy>
  <cp:revision>6</cp:revision>
  <cp:lastPrinted>2013-11-27T21:43:00Z</cp:lastPrinted>
  <dcterms:created xsi:type="dcterms:W3CDTF">2025-08-14T12:15:00Z</dcterms:created>
  <dcterms:modified xsi:type="dcterms:W3CDTF">2025-10-17T09:45:00Z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CatchAll">
    <vt:lpwstr/>
  </property>
  <property fmtid="{D5CDD505-2E9C-101B-9397-08002B2CF9AE}" pid="3" name="lcf76f155ced4ddcb4097134ff3c332f">
    <vt:lpwstr/>
  </property>
  <property fmtid="{D5CDD505-2E9C-101B-9397-08002B2CF9AE}" pid="4" name="ContentTypeId">
    <vt:lpwstr>0x0101006DB590B2C076D34293AC619A9DEC14B8</vt:lpwstr>
  </property>
  <property fmtid="{D5CDD505-2E9C-101B-9397-08002B2CF9AE}" pid="5" name="MediaServiceImageTags">
    <vt:lpwstr/>
  </property>
</Properties>
</file>