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9FA54" w14:textId="77777777" w:rsidR="00B86E1F" w:rsidRPr="005076D1" w:rsidRDefault="000B7E0B" w:rsidP="005076D1">
      <w:pPr>
        <w:pStyle w:val="BodyCopy"/>
        <w:jc w:val="left"/>
        <w:rPr>
          <w:rFonts w:eastAsia="MS Mincho" w:cs="Arial"/>
        </w:rPr>
      </w:pPr>
      <w:r>
        <w:rPr>
          <w:rFonts w:eastAsia="MS Mincho" w:cs="Arial"/>
          <w:noProof/>
          <w:lang w:val="en-GB" w:eastAsia="en-GB" w:bidi="ar-SA"/>
        </w:rPr>
        <w:drawing>
          <wp:inline distT="0" distB="0" distL="0" distR="0" wp14:anchorId="42B87F50" wp14:editId="3AF9000C">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FD51E50" w14:textId="77777777" w:rsidR="00FA03F5" w:rsidRPr="005076D1" w:rsidRDefault="00FA03F5" w:rsidP="006154AA">
      <w:pPr>
        <w:pStyle w:val="Heading1"/>
        <w:spacing w:line="360" w:lineRule="auto"/>
        <w:rPr>
          <w:rFonts w:ascii="Arial" w:hAnsi="Arial" w:cs="Arial"/>
          <w:sz w:val="24"/>
          <w:szCs w:val="24"/>
        </w:rPr>
      </w:pPr>
    </w:p>
    <w:p w14:paraId="2DF8CCF0" w14:textId="77777777" w:rsidR="00D73506" w:rsidRPr="00D73506" w:rsidRDefault="00D73506" w:rsidP="00D73506">
      <w:pPr>
        <w:spacing w:line="480" w:lineRule="auto"/>
        <w:jc w:val="center"/>
        <w:rPr>
          <w:rFonts w:cs="Arial"/>
          <w:b/>
          <w:sz w:val="32"/>
        </w:rPr>
      </w:pPr>
      <w:r>
        <w:rPr>
          <w:b/>
          <w:sz w:val="32"/>
        </w:rPr>
        <w:t>WEG présente son nouveau PLC500 haute performance pour Industrie 4.0</w:t>
      </w:r>
    </w:p>
    <w:p w14:paraId="3CDADFFD" w14:textId="77777777" w:rsidR="00D73506" w:rsidRPr="00D73506" w:rsidRDefault="00D73506" w:rsidP="00D73506">
      <w:pPr>
        <w:spacing w:line="480" w:lineRule="auto"/>
        <w:jc w:val="center"/>
        <w:rPr>
          <w:rFonts w:cs="Arial"/>
          <w:b/>
        </w:rPr>
      </w:pPr>
      <w:r>
        <w:rPr>
          <w:b/>
        </w:rPr>
        <w:t>~ Automate programmable industriel offrant un meilleur rendement et une connectivité sans faille ~</w:t>
      </w:r>
    </w:p>
    <w:p w14:paraId="33CFCDB8" w14:textId="77777777" w:rsidR="00D73506" w:rsidRPr="000F78F9" w:rsidRDefault="00D73506" w:rsidP="000F78F9">
      <w:pPr>
        <w:spacing w:line="480" w:lineRule="auto"/>
        <w:jc w:val="center"/>
        <w:rPr>
          <w:rFonts w:cs="Arial"/>
          <w:b/>
        </w:rPr>
      </w:pPr>
    </w:p>
    <w:p w14:paraId="4613D965" w14:textId="77777777" w:rsidR="000F78F9" w:rsidRDefault="000F78F9" w:rsidP="000F78F9">
      <w:pPr>
        <w:spacing w:line="480" w:lineRule="auto"/>
        <w:jc w:val="both"/>
        <w:rPr>
          <w:b/>
        </w:rPr>
      </w:pPr>
    </w:p>
    <w:p w14:paraId="0287D176" w14:textId="77777777" w:rsidR="00D73506" w:rsidRDefault="00D73506" w:rsidP="007A2697">
      <w:pPr>
        <w:spacing w:line="480" w:lineRule="auto"/>
        <w:jc w:val="both"/>
        <w:rPr>
          <w:rFonts w:cs="Arial"/>
          <w:b/>
          <w:bCs/>
        </w:rPr>
      </w:pPr>
      <w:r>
        <w:rPr>
          <w:b/>
        </w:rPr>
        <w:t>WEG, leader mondial en technologies</w:t>
      </w:r>
      <w:r w:rsidR="00CE2898">
        <w:rPr>
          <w:b/>
        </w:rPr>
        <w:t xml:space="preserve"> </w:t>
      </w:r>
      <w:hyperlink r:id="rId12">
        <w:r>
          <w:rPr>
            <w:b/>
          </w:rPr>
          <w:t>d'automatisation et de contrôle</w:t>
        </w:r>
      </w:hyperlink>
      <w:r>
        <w:rPr>
          <w:b/>
        </w:rPr>
        <w:t xml:space="preserve">, a annoncé le lancement de sa toute dernière innovation en matière d'automates programmables industriels (API) : la série PLC500. Conçu pour répondre aux demandes croissantes d'Industrie 4.0, le PLC500 offre une performance supérieure, une programmation flexible et une connectivité avancée, qui en font un outil indispensable pour l'automatisation industrielle moderne. </w:t>
      </w:r>
    </w:p>
    <w:p w14:paraId="2F7B4035" w14:textId="77777777" w:rsidR="00D73506" w:rsidRPr="00D73506" w:rsidRDefault="00D73506" w:rsidP="007A2697">
      <w:pPr>
        <w:spacing w:line="480" w:lineRule="auto"/>
        <w:jc w:val="both"/>
        <w:rPr>
          <w:rFonts w:cs="Arial"/>
          <w:b/>
          <w:bCs/>
        </w:rPr>
      </w:pPr>
    </w:p>
    <w:p w14:paraId="265B0EC5" w14:textId="77777777" w:rsidR="00D73506" w:rsidRDefault="00D73506" w:rsidP="007A2697">
      <w:pPr>
        <w:spacing w:line="480" w:lineRule="auto"/>
        <w:jc w:val="both"/>
        <w:rPr>
          <w:rFonts w:cs="Arial"/>
        </w:rPr>
      </w:pPr>
      <w:r>
        <w:t>Fort de la technologie de pointe WEG, le PLC500 s'intègre sans problème à la plateforme logicielle CODESYS</w:t>
      </w:r>
      <w:r>
        <w:rPr>
          <w:vertAlign w:val="superscript"/>
        </w:rPr>
        <w:t>®</w:t>
      </w:r>
      <w:r>
        <w:t xml:space="preserve"> reconnue dans le monde entier, qui permet la programmation intuitive et la migration rapide d'applications existantes, réduisant ainsi le temps et le coût de développement. </w:t>
      </w:r>
    </w:p>
    <w:p w14:paraId="0E525A0F" w14:textId="77777777" w:rsidR="00D73506" w:rsidRDefault="00D73506" w:rsidP="007A2697">
      <w:pPr>
        <w:spacing w:line="480" w:lineRule="auto"/>
        <w:jc w:val="both"/>
        <w:rPr>
          <w:rFonts w:cs="Arial"/>
        </w:rPr>
      </w:pPr>
      <w:r>
        <w:lastRenderedPageBreak/>
        <w:t xml:space="preserve">« Le développement du PLC500 a été motivé par l'engagement de WEG à relever les grands défis de l'industrie, notamment la nécessité d'améliorer la connectivité, la souplesse d'utilisation et le rendement énergétique, » a expliqué Aluisio João Corrêa, spécialiste WEG de l'automatisation pour les produits associés aux commandes et variateurs basse tension. </w:t>
      </w:r>
    </w:p>
    <w:p w14:paraId="0855B7A9" w14:textId="77777777" w:rsidR="00D73506" w:rsidRPr="00D73506" w:rsidRDefault="00D73506" w:rsidP="007A2697">
      <w:pPr>
        <w:spacing w:line="480" w:lineRule="auto"/>
        <w:jc w:val="both"/>
        <w:rPr>
          <w:rFonts w:cs="Arial"/>
        </w:rPr>
      </w:pPr>
    </w:p>
    <w:p w14:paraId="5B738970" w14:textId="77777777" w:rsidR="00D73506" w:rsidRDefault="00D73506" w:rsidP="007A2697">
      <w:pPr>
        <w:spacing w:line="480" w:lineRule="auto"/>
        <w:jc w:val="both"/>
        <w:rPr>
          <w:rFonts w:cs="Arial"/>
        </w:rPr>
      </w:pPr>
      <w:r>
        <w:t xml:space="preserve">« Grâce à sa conception modulaire, le PLC500 est adaptable et par conséquent idéal pour les fabricants d'équipements d'origine (OEM) et divers procédés d'automatisation. Les outils de surveillance en temps réel de l'internet des objets et les fonctions de maintenance prédictive intégrées dans le PLC500 aident à réduire les temps d'arrêt, à optimiser les opérations et à diminuer les coûts opérationnels. </w:t>
      </w:r>
    </w:p>
    <w:p w14:paraId="7A6C6C9E" w14:textId="77777777" w:rsidR="00D73506" w:rsidRPr="00D73506" w:rsidRDefault="00D73506" w:rsidP="007A2697">
      <w:pPr>
        <w:spacing w:line="480" w:lineRule="auto"/>
        <w:jc w:val="both"/>
        <w:rPr>
          <w:rFonts w:cs="Arial"/>
        </w:rPr>
      </w:pPr>
    </w:p>
    <w:p w14:paraId="2C8FEEEC" w14:textId="77777777" w:rsidR="00D73506" w:rsidRPr="00D73506" w:rsidRDefault="00D73506" w:rsidP="007A2697">
      <w:pPr>
        <w:spacing w:line="480" w:lineRule="auto"/>
        <w:jc w:val="both"/>
        <w:rPr>
          <w:rFonts w:cs="Arial"/>
          <w:b/>
          <w:bCs/>
        </w:rPr>
      </w:pPr>
      <w:r>
        <w:rPr>
          <w:b/>
        </w:rPr>
        <w:t>Haute performance et connectivité</w:t>
      </w:r>
    </w:p>
    <w:p w14:paraId="28CDA196" w14:textId="77777777" w:rsidR="00D73506" w:rsidRDefault="00D73506" w:rsidP="007A2697">
      <w:pPr>
        <w:spacing w:line="480" w:lineRule="auto"/>
        <w:jc w:val="both"/>
        <w:rPr>
          <w:rFonts w:cs="Arial"/>
        </w:rPr>
      </w:pPr>
      <w:r>
        <w:t xml:space="preserve">Fonctionnant avec un processeur double-cœur ARM Cortex-A7 à 1 GHz et un coprocesseur en temps réel ARM Cortex-M4 à 200 MHz, le PLC500 dispose de 1 GO de RAM et de 4 GO de mémoire flash, assurant ainsi qu'il est capable de gérer facilement des applications industrielles complexes et de multiples tâches simultanées. </w:t>
      </w:r>
    </w:p>
    <w:p w14:paraId="73BCC6C3" w14:textId="77777777" w:rsidR="00D73506" w:rsidRPr="00D73506" w:rsidRDefault="00D73506" w:rsidP="007A2697">
      <w:pPr>
        <w:spacing w:line="480" w:lineRule="auto"/>
        <w:jc w:val="both"/>
        <w:rPr>
          <w:rFonts w:cs="Arial"/>
        </w:rPr>
      </w:pPr>
    </w:p>
    <w:p w14:paraId="2C222DCA" w14:textId="4B986AAA" w:rsidR="003C47B8" w:rsidRDefault="003C47B8" w:rsidP="003C47B8">
      <w:pPr>
        <w:spacing w:line="480" w:lineRule="auto"/>
        <w:jc w:val="both"/>
        <w:rPr>
          <w:rFonts w:cs="Arial"/>
        </w:rPr>
      </w:pPr>
      <w:r>
        <w:t>Parmi les remarquables caractéristiques du PLC500 figurent ses options de connectivité fiables</w:t>
      </w:r>
      <w:r w:rsidR="006F0BF9">
        <w:t>,</w:t>
      </w:r>
      <w:r>
        <w:t xml:space="preserve"> notamment deux ports Ethernet, un port CAN et un port RS485, qui lui permettent de fonctionner de manière efficace et simultanée sous divers protocoles de communication tels que Modbus TCP/RTU, CANopen, EtherNet/IP, EtherCAT, PROFINET et MQTT.</w:t>
      </w:r>
    </w:p>
    <w:p w14:paraId="3643571B" w14:textId="77777777" w:rsidR="00D73506" w:rsidRPr="00D73506" w:rsidRDefault="00D73506" w:rsidP="007A2697">
      <w:pPr>
        <w:spacing w:line="480" w:lineRule="auto"/>
        <w:jc w:val="both"/>
        <w:rPr>
          <w:rFonts w:cs="Arial"/>
        </w:rPr>
      </w:pPr>
    </w:p>
    <w:p w14:paraId="50716D8A" w14:textId="77777777" w:rsidR="00D73506" w:rsidRDefault="00D73506" w:rsidP="007A2697">
      <w:pPr>
        <w:spacing w:line="480" w:lineRule="auto"/>
        <w:jc w:val="both"/>
        <w:rPr>
          <w:rFonts w:cs="Arial"/>
        </w:rPr>
      </w:pPr>
      <w:r>
        <w:t xml:space="preserve">En outre, des versions spécialisées du PLC500 sont disponibles, dont le </w:t>
      </w:r>
      <w:hyperlink r:id="rId13">
        <w:r>
          <w:rPr>
            <w:rStyle w:val="Hyperlink"/>
          </w:rPr>
          <w:t>PLC500MC (Motion Controller)</w:t>
        </w:r>
        <w:r w:rsidRPr="006F0BF9">
          <w:rPr>
            <w:rStyle w:val="Hyperlink"/>
            <w:u w:val="none"/>
          </w:rPr>
          <w:t xml:space="preserve"> </w:t>
        </w:r>
      </w:hyperlink>
      <w:r>
        <w:t xml:space="preserve">pour la servocommande de mouvement et le </w:t>
      </w:r>
      <w:hyperlink r:id="rId14">
        <w:r>
          <w:rPr>
            <w:rStyle w:val="Hyperlink"/>
          </w:rPr>
          <w:t>PLC500ED (Edge Device)</w:t>
        </w:r>
      </w:hyperlink>
      <w:r w:rsidRPr="006F0BF9">
        <w:rPr>
          <w:rStyle w:val="Hyperlink"/>
          <w:color w:val="auto"/>
          <w:u w:val="none"/>
        </w:rPr>
        <w:t>,</w:t>
      </w:r>
      <w:r>
        <w:t xml:space="preserve"> qui intègre la technologie informatique de pointe. </w:t>
      </w:r>
    </w:p>
    <w:p w14:paraId="2CA3A318" w14:textId="6C77A82E" w:rsidR="007765F0" w:rsidRPr="0032338F" w:rsidRDefault="007765F0" w:rsidP="0032338F">
      <w:pPr>
        <w:spacing w:line="480" w:lineRule="auto"/>
        <w:jc w:val="both"/>
        <w:rPr>
          <w:rFonts w:cs="Arial"/>
        </w:rPr>
      </w:pPr>
    </w:p>
    <w:p w14:paraId="1CB48B24" w14:textId="77777777" w:rsidR="00D73506" w:rsidRPr="00D73506" w:rsidRDefault="00D73506" w:rsidP="007A2697">
      <w:pPr>
        <w:spacing w:line="480" w:lineRule="auto"/>
        <w:jc w:val="both"/>
        <w:rPr>
          <w:rFonts w:cs="Arial"/>
          <w:b/>
          <w:bCs/>
        </w:rPr>
      </w:pPr>
      <w:r>
        <w:rPr>
          <w:b/>
        </w:rPr>
        <w:t xml:space="preserve">Polyvalence éprouvée dans de multiples industries </w:t>
      </w:r>
    </w:p>
    <w:p w14:paraId="554A9920" w14:textId="77777777" w:rsidR="00D73506" w:rsidRDefault="00D73506" w:rsidP="007A2697">
      <w:pPr>
        <w:spacing w:line="480" w:lineRule="auto"/>
        <w:jc w:val="both"/>
        <w:rPr>
          <w:rFonts w:cs="Arial"/>
        </w:rPr>
      </w:pPr>
      <w:r>
        <w:t xml:space="preserve">« Le PLC500 s'est déjà avéré être un atout précieux dans un vaste éventail d'industries, notamment le textile, les métaux, le traitement du bois et la fabrication générale, a déclaré Corrêa. « Sa polyvalence est un avantage pour les OEM et les procédés d'automatisation de nombreux secteurs, en démontrant son efficacité à la fois dans les applications spécialisées et les environnements industriels plus étendus. » </w:t>
      </w:r>
    </w:p>
    <w:p w14:paraId="29E1518B" w14:textId="77777777" w:rsidR="007765F0" w:rsidRDefault="007765F0" w:rsidP="007A2697">
      <w:pPr>
        <w:spacing w:line="480" w:lineRule="auto"/>
        <w:jc w:val="both"/>
        <w:rPr>
          <w:rFonts w:cs="Arial"/>
        </w:rPr>
      </w:pPr>
    </w:p>
    <w:p w14:paraId="44021112" w14:textId="77777777" w:rsidR="00D73506" w:rsidRDefault="00D73506" w:rsidP="007A2697">
      <w:pPr>
        <w:spacing w:line="480" w:lineRule="auto"/>
        <w:jc w:val="both"/>
        <w:rPr>
          <w:rFonts w:cs="Arial"/>
        </w:rPr>
      </w:pPr>
      <w:r>
        <w:t>En comparaison d'autres modèles de la gamme WEG et des concurrents, la série PLC500 se distingue par sa conception compacte, facilitant son installation même dans les espaces restreints. Capable de prendre en charge plus de 200 entrées/sorties locales et des milliers d'entrées/sorties déportées, le PLC500 offre une polyvalence et des options d'intégration inégalées, qui en font un acteur clé dans le secteur de l'automatisation industrielle.</w:t>
      </w:r>
    </w:p>
    <w:p w14:paraId="1E55B5A2" w14:textId="77777777" w:rsidR="00D73506" w:rsidRPr="00D73506" w:rsidRDefault="00D73506" w:rsidP="007A2697">
      <w:pPr>
        <w:spacing w:line="480" w:lineRule="auto"/>
        <w:jc w:val="both"/>
        <w:rPr>
          <w:rFonts w:cs="Arial"/>
        </w:rPr>
      </w:pPr>
    </w:p>
    <w:p w14:paraId="5925D660" w14:textId="77777777" w:rsidR="00D73506" w:rsidRDefault="00D73506" w:rsidP="007A2697">
      <w:pPr>
        <w:spacing w:line="480" w:lineRule="auto"/>
        <w:jc w:val="both"/>
        <w:rPr>
          <w:rFonts w:cs="Arial"/>
        </w:rPr>
      </w:pPr>
      <w:r>
        <w:t xml:space="preserve">Les premiers utilisateurs à avoir adopter le PLC500 vantent son interface conviviale, sa programmation intuitive et son intégration sans faille dans les systèmes. Les réactions sur sa performance soulignent sa vitesse et sa fiabilité dans les applications du monde </w:t>
      </w:r>
      <w:r>
        <w:lastRenderedPageBreak/>
        <w:t xml:space="preserve">réel, consolidant ainsi davantage son rôle de solution transformatrice dans l'automatisation industrielle. </w:t>
      </w:r>
    </w:p>
    <w:p w14:paraId="1B9E0881" w14:textId="77777777" w:rsidR="00D73506" w:rsidRPr="00D73506" w:rsidRDefault="00D73506" w:rsidP="007A2697">
      <w:pPr>
        <w:spacing w:line="480" w:lineRule="auto"/>
        <w:jc w:val="both"/>
        <w:rPr>
          <w:rFonts w:cs="Arial"/>
        </w:rPr>
      </w:pPr>
    </w:p>
    <w:p w14:paraId="18B8F85C" w14:textId="77777777" w:rsidR="00D73506" w:rsidRDefault="00D73506" w:rsidP="007A2697">
      <w:pPr>
        <w:spacing w:line="480" w:lineRule="auto"/>
        <w:jc w:val="both"/>
        <w:rPr>
          <w:rFonts w:cs="Arial"/>
        </w:rPr>
      </w:pPr>
      <w:r>
        <w:t>À l'avenir, WEG prévoit de continuer à faire évoluer la série PLC500, en adaptant les futurs développements aux tendances émergentes du marché et aux besoins des clients. WEG poursuit sa vocation à soutenir les industries en réduisant la consommation d'énergie et les émissions de carbone et en renforçant son engagement envers les pratiques durables.</w:t>
      </w:r>
    </w:p>
    <w:p w14:paraId="0B1C9D71" w14:textId="77777777" w:rsidR="00D73506" w:rsidRPr="00D73506" w:rsidRDefault="00D73506" w:rsidP="007A2697">
      <w:pPr>
        <w:spacing w:line="480" w:lineRule="auto"/>
        <w:jc w:val="both"/>
        <w:rPr>
          <w:rFonts w:cs="Arial"/>
        </w:rPr>
      </w:pPr>
    </w:p>
    <w:p w14:paraId="63D0BE7B" w14:textId="77777777" w:rsidR="00D73506" w:rsidRDefault="00D73506" w:rsidP="007A2697">
      <w:pPr>
        <w:spacing w:line="480" w:lineRule="auto"/>
        <w:jc w:val="both"/>
        <w:rPr>
          <w:rFonts w:cs="Arial"/>
          <w:i/>
          <w:iCs/>
        </w:rPr>
      </w:pPr>
      <w:r>
        <w:rPr>
          <w:i/>
        </w:rPr>
        <w:t xml:space="preserve">Pour de plus amples informations sur la </w:t>
      </w:r>
      <w:hyperlink r:id="rId15">
        <w:r>
          <w:rPr>
            <w:rStyle w:val="Hyperlink"/>
            <w:i/>
          </w:rPr>
          <w:t>série PLC500</w:t>
        </w:r>
      </w:hyperlink>
      <w:r>
        <w:rPr>
          <w:i/>
        </w:rPr>
        <w:t xml:space="preserve"> et autres produits d'automatisation, consultez le site web ou contactez l'équipe de vente WEG à </w:t>
      </w:r>
      <w:hyperlink r:id="rId16">
        <w:r>
          <w:rPr>
            <w:rStyle w:val="Hyperlink"/>
            <w:i/>
          </w:rPr>
          <w:t>sales@weg.net</w:t>
        </w:r>
      </w:hyperlink>
      <w:r>
        <w:rPr>
          <w:i/>
        </w:rPr>
        <w:t>.</w:t>
      </w:r>
    </w:p>
    <w:p w14:paraId="5A286AFE" w14:textId="77777777" w:rsidR="00BF70D7" w:rsidRPr="00D73506" w:rsidRDefault="00BF70D7" w:rsidP="00D73506">
      <w:pPr>
        <w:spacing w:line="480" w:lineRule="auto"/>
        <w:rPr>
          <w:rFonts w:cs="Arial"/>
          <w:i/>
          <w:iCs/>
        </w:rPr>
      </w:pPr>
    </w:p>
    <w:p w14:paraId="5B9D8B35" w14:textId="77777777" w:rsidR="003E5474" w:rsidRPr="005076D1" w:rsidRDefault="003E5474" w:rsidP="00C07ADE">
      <w:pPr>
        <w:spacing w:line="480" w:lineRule="auto"/>
        <w:rPr>
          <w:rFonts w:cs="Arial"/>
        </w:rPr>
      </w:pPr>
    </w:p>
    <w:p w14:paraId="45F25089" w14:textId="7FFCE2A5" w:rsidR="00E03D45" w:rsidRPr="000E31FC" w:rsidRDefault="00E03D45" w:rsidP="00C07ADE">
      <w:pPr>
        <w:spacing w:line="480" w:lineRule="auto"/>
        <w:rPr>
          <w:rFonts w:eastAsia="MS Mincho" w:cs="Arial"/>
          <w:lang w:val="en-GB"/>
        </w:rPr>
      </w:pPr>
      <w:r w:rsidRPr="000E31FC">
        <w:rPr>
          <w:b/>
          <w:color w:val="4472C4"/>
          <w:lang w:val="en-GB"/>
        </w:rPr>
        <w:t>Ends:</w:t>
      </w:r>
      <w:r w:rsidRPr="000E31FC">
        <w:rPr>
          <w:lang w:val="en-GB"/>
        </w:rPr>
        <w:t xml:space="preserve"> </w:t>
      </w:r>
      <w:r w:rsidR="00DD149B">
        <w:rPr>
          <w:lang w:val="en-GB"/>
        </w:rPr>
        <w:t>616</w:t>
      </w:r>
      <w:r w:rsidRPr="000E31FC">
        <w:rPr>
          <w:lang w:val="en-GB"/>
        </w:rPr>
        <w:t xml:space="preserve"> words</w:t>
      </w:r>
    </w:p>
    <w:p w14:paraId="7C088144" w14:textId="77777777" w:rsidR="00E03D45" w:rsidRPr="000E31FC" w:rsidRDefault="00E03D45" w:rsidP="00C07ADE">
      <w:pPr>
        <w:spacing w:line="480" w:lineRule="auto"/>
        <w:rPr>
          <w:rFonts w:eastAsia="MS Mincho"/>
          <w:lang w:val="en-GB"/>
        </w:rPr>
      </w:pPr>
    </w:p>
    <w:p w14:paraId="5A46670F" w14:textId="773737DD" w:rsidR="00675A02" w:rsidRDefault="00924FCE" w:rsidP="00C07ADE">
      <w:pPr>
        <w:spacing w:line="480" w:lineRule="auto"/>
        <w:rPr>
          <w:b/>
          <w:color w:val="FF9933"/>
          <w:lang w:val="en-GB"/>
        </w:rPr>
      </w:pPr>
      <w:r w:rsidRPr="000E31FC">
        <w:rPr>
          <w:b/>
          <w:color w:val="4472C4"/>
          <w:lang w:val="en-GB"/>
        </w:rPr>
        <w:t>Image caption:</w:t>
      </w:r>
    </w:p>
    <w:p w14:paraId="557937D2" w14:textId="51962E66" w:rsidR="006370B7" w:rsidRPr="006370B7" w:rsidRDefault="00084EF8" w:rsidP="00C07ADE">
      <w:pPr>
        <w:spacing w:line="480" w:lineRule="auto"/>
        <w:rPr>
          <w:i/>
          <w:iCs/>
        </w:rPr>
      </w:pPr>
      <w:r>
        <w:t>Première image</w:t>
      </w:r>
      <w:r w:rsidR="006370B7" w:rsidRPr="006370B7">
        <w:rPr>
          <w:i/>
          <w:iCs/>
        </w:rPr>
        <w:t xml:space="preserve"> – La conception modulaire de l'automate PLC500 favorise l'évolutivité, ce qui le rend idéal pour les fabricants d'équipements d'origine et les divers processus d'automatisation.</w:t>
      </w:r>
    </w:p>
    <w:p w14:paraId="33BF5E66" w14:textId="77777777" w:rsidR="006370B7" w:rsidRPr="006370B7" w:rsidRDefault="006370B7" w:rsidP="00C07ADE">
      <w:pPr>
        <w:spacing w:line="480" w:lineRule="auto"/>
        <w:rPr>
          <w:i/>
          <w:iCs/>
        </w:rPr>
      </w:pPr>
    </w:p>
    <w:p w14:paraId="63A14546" w14:textId="05E45DE9" w:rsidR="00675A02" w:rsidRPr="006370B7" w:rsidRDefault="00084EF8" w:rsidP="00C07ADE">
      <w:pPr>
        <w:spacing w:line="480" w:lineRule="auto"/>
        <w:rPr>
          <w:i/>
          <w:iCs/>
        </w:rPr>
      </w:pPr>
      <w:r>
        <w:t>Deuxième i</w:t>
      </w:r>
      <w:r w:rsidR="006370B7" w:rsidRPr="00C07ADE">
        <w:t xml:space="preserve">mage </w:t>
      </w:r>
      <w:r w:rsidR="006370B7" w:rsidRPr="006370B7">
        <w:rPr>
          <w:i/>
          <w:iCs/>
        </w:rPr>
        <w:t xml:space="preserve">– </w:t>
      </w:r>
      <w:r w:rsidR="00675A02" w:rsidRPr="006370B7">
        <w:rPr>
          <w:i/>
          <w:iCs/>
        </w:rPr>
        <w:t>Des versions spécialisées de l'automate PLC500 sont disponibles, notamment le PLC500ED (Edge Device).</w:t>
      </w:r>
    </w:p>
    <w:p w14:paraId="4B365F95" w14:textId="77777777" w:rsidR="00924FCE" w:rsidRPr="00675A02" w:rsidRDefault="00924FCE" w:rsidP="008A6A7A">
      <w:pPr>
        <w:rPr>
          <w:rFonts w:eastAsia="MS Mincho"/>
        </w:rPr>
      </w:pPr>
    </w:p>
    <w:p w14:paraId="7FFDADF8" w14:textId="77777777" w:rsidR="00E03D45" w:rsidRPr="000E31FC" w:rsidRDefault="00E03D45" w:rsidP="008A6A7A">
      <w:pPr>
        <w:rPr>
          <w:lang w:val="en-GB"/>
        </w:rPr>
      </w:pPr>
      <w:r w:rsidRPr="000E31FC">
        <w:rPr>
          <w:b/>
          <w:color w:val="4472C4"/>
          <w:lang w:val="en-GB"/>
        </w:rPr>
        <w:t>Editor’s note:</w:t>
      </w:r>
      <w:r w:rsidRPr="000E31FC">
        <w:rPr>
          <w:b/>
          <w:color w:val="439639"/>
          <w:lang w:val="en-GB"/>
        </w:rPr>
        <w:t xml:space="preserve"> </w:t>
      </w:r>
      <w:r w:rsidRPr="000E31FC">
        <w:rPr>
          <w:lang w:val="en-GB"/>
        </w:rPr>
        <w:t xml:space="preserve">If you want to ensure you keep up to date with press material, opinion focussed content and case studies from WEG visit </w:t>
      </w:r>
      <w:hyperlink r:id="rId17">
        <w:r w:rsidRPr="000E31FC">
          <w:rPr>
            <w:rStyle w:val="Hyperlink"/>
            <w:lang w:val="en-GB"/>
          </w:rPr>
          <w:t>https://www.weg.net/institutional/MR/en/all-news/all</w:t>
        </w:r>
      </w:hyperlink>
    </w:p>
    <w:p w14:paraId="4207F0F0" w14:textId="77777777" w:rsidR="00E03D45" w:rsidRPr="000E31FC" w:rsidRDefault="00E03D45" w:rsidP="008A6A7A">
      <w:pPr>
        <w:rPr>
          <w:rFonts w:eastAsia="MS Mincho"/>
          <w:b/>
          <w:bCs/>
          <w:color w:val="00529C"/>
          <w:lang w:val="en-GB"/>
        </w:rPr>
      </w:pPr>
    </w:p>
    <w:p w14:paraId="45B30C1E" w14:textId="77777777" w:rsidR="008A6A7A" w:rsidRPr="000E31FC" w:rsidRDefault="00E03D45" w:rsidP="008A6A7A">
      <w:pPr>
        <w:rPr>
          <w:color w:val="000000"/>
          <w:lang w:val="en-GB"/>
        </w:rPr>
      </w:pPr>
      <w:r w:rsidRPr="000E31FC">
        <w:rPr>
          <w:b/>
          <w:color w:val="4472C4"/>
          <w:lang w:val="en-GB"/>
        </w:rPr>
        <w:t>For further information contact:</w:t>
      </w:r>
      <w:r w:rsidRPr="000E31FC">
        <w:rPr>
          <w:b/>
          <w:color w:val="439639"/>
          <w:lang w:val="en-GB"/>
        </w:rPr>
        <w:t xml:space="preserve"> </w:t>
      </w:r>
      <w:r w:rsidRPr="000E31FC">
        <w:rPr>
          <w:color w:val="000000"/>
          <w:lang w:val="en-GB"/>
        </w:rPr>
        <w:t>Marek Lukaszczyk</w:t>
      </w:r>
    </w:p>
    <w:p w14:paraId="00E4A814" w14:textId="77777777" w:rsidR="005076D1" w:rsidRPr="000E31FC" w:rsidRDefault="008A6A7A" w:rsidP="008A6A7A">
      <w:pPr>
        <w:rPr>
          <w:color w:val="E6950B"/>
          <w:shd w:val="clear" w:color="auto" w:fill="FFFFFF"/>
          <w:lang w:val="en-GB"/>
        </w:rPr>
      </w:pPr>
      <w:r w:rsidRPr="000E31FC">
        <w:rPr>
          <w:color w:val="000000"/>
          <w:lang w:val="en-GB"/>
        </w:rPr>
        <w:t>Broad Ground Road, Lakeside, Redditch, Worcestershire B98 8YP</w:t>
      </w:r>
    </w:p>
    <w:p w14:paraId="5F10BE30" w14:textId="77777777" w:rsidR="00E03D45" w:rsidRPr="000E31FC" w:rsidRDefault="00E03D45" w:rsidP="008A6A7A">
      <w:pPr>
        <w:rPr>
          <w:rFonts w:eastAsia="MS Mincho"/>
          <w:bCs/>
          <w:lang w:val="en-GB"/>
        </w:rPr>
      </w:pPr>
      <w:r w:rsidRPr="000E31FC">
        <w:rPr>
          <w:b/>
          <w:color w:val="4472C4"/>
          <w:lang w:val="en-GB"/>
        </w:rPr>
        <w:t>www:</w:t>
      </w:r>
      <w:r w:rsidRPr="000E31FC">
        <w:rPr>
          <w:color w:val="FF9933"/>
          <w:lang w:val="en-GB"/>
        </w:rPr>
        <w:t xml:space="preserve"> </w:t>
      </w:r>
      <w:hyperlink r:id="rId18">
        <w:r w:rsidRPr="000E31FC">
          <w:rPr>
            <w:rStyle w:val="Hyperlink"/>
            <w:lang w:val="en-GB"/>
          </w:rPr>
          <w:t>www.weg.net</w:t>
        </w:r>
      </w:hyperlink>
      <w:r w:rsidRPr="000E31FC">
        <w:rPr>
          <w:lang w:val="en-GB"/>
        </w:rPr>
        <w:t xml:space="preserve"> </w:t>
      </w:r>
    </w:p>
    <w:p w14:paraId="205D16C0" w14:textId="77777777" w:rsidR="00E03D45" w:rsidRPr="000E31FC" w:rsidRDefault="00E03D45" w:rsidP="008A6A7A">
      <w:pPr>
        <w:rPr>
          <w:lang w:val="en-GB"/>
        </w:rPr>
      </w:pPr>
      <w:r w:rsidRPr="000E31FC">
        <w:rPr>
          <w:b/>
          <w:color w:val="4472C4"/>
          <w:lang w:val="en-GB"/>
        </w:rPr>
        <w:t>e-mail:</w:t>
      </w:r>
      <w:r w:rsidRPr="000E31FC">
        <w:rPr>
          <w:color w:val="00B4EC"/>
          <w:lang w:val="en-GB"/>
        </w:rPr>
        <w:t xml:space="preserve"> </w:t>
      </w:r>
      <w:hyperlink r:id="rId19">
        <w:r w:rsidRPr="000E31FC">
          <w:rPr>
            <w:rStyle w:val="Hyperlink"/>
            <w:color w:val="auto"/>
            <w:shd w:val="clear" w:color="auto" w:fill="FFFFFF"/>
            <w:lang w:val="en-GB"/>
          </w:rPr>
          <w:t>info-uk@weg.net</w:t>
        </w:r>
      </w:hyperlink>
    </w:p>
    <w:p w14:paraId="2E3E847D" w14:textId="77777777" w:rsidR="00E03D45" w:rsidRPr="000E31FC" w:rsidRDefault="00E03D45" w:rsidP="008A6A7A">
      <w:pPr>
        <w:rPr>
          <w:rFonts w:eastAsia="MS Mincho"/>
          <w:color w:val="0C7289"/>
          <w:lang w:val="en-GB"/>
        </w:rPr>
      </w:pPr>
    </w:p>
    <w:p w14:paraId="2F6D86DA" w14:textId="77777777" w:rsidR="00E03D45" w:rsidRPr="000E31FC" w:rsidRDefault="00E03D45" w:rsidP="008A6A7A">
      <w:pPr>
        <w:rPr>
          <w:rFonts w:eastAsia="MS Mincho"/>
          <w:spacing w:val="-3"/>
          <w:lang w:val="en-GB"/>
        </w:rPr>
      </w:pPr>
      <w:r w:rsidRPr="000E31FC">
        <w:rPr>
          <w:b/>
          <w:color w:val="4472C4"/>
          <w:lang w:val="en-GB"/>
        </w:rPr>
        <w:t>Press enquiries:</w:t>
      </w:r>
      <w:r w:rsidRPr="000E31FC">
        <w:rPr>
          <w:b/>
          <w:color w:val="00B4EC"/>
          <w:spacing w:val="-3"/>
          <w:lang w:val="en-GB"/>
        </w:rPr>
        <w:t xml:space="preserve"> </w:t>
      </w:r>
      <w:r w:rsidRPr="000E31FC">
        <w:rPr>
          <w:spacing w:val="-3"/>
          <w:lang w:val="en-GB"/>
        </w:rPr>
        <w:t>Laura England or Stephanie Wood – Stone Junction Ltd</w:t>
      </w:r>
    </w:p>
    <w:p w14:paraId="17DB3210" w14:textId="77777777" w:rsidR="00E03D45" w:rsidRPr="000E31FC" w:rsidRDefault="00E23DAC" w:rsidP="008A6A7A">
      <w:pPr>
        <w:rPr>
          <w:rFonts w:cs="Arial"/>
          <w:color w:val="000000"/>
          <w:lang w:val="en-GB"/>
        </w:rPr>
      </w:pPr>
      <w:r w:rsidRPr="000E31FC">
        <w:rPr>
          <w:color w:val="000000"/>
          <w:lang w:val="en-GB"/>
        </w:rPr>
        <w:t>Suites 1&amp;2 The Malthouse, Water Street, Stafford, Staffordshire, ST16 1AR </w:t>
      </w:r>
      <w:r w:rsidRPr="000E31FC">
        <w:rPr>
          <w:rFonts w:eastAsia="MS Mincho"/>
          <w:noProof/>
          <w:lang w:val="en-GB"/>
        </w:rPr>
        <w:br/>
      </w:r>
      <w:r w:rsidRPr="000E31FC">
        <w:rPr>
          <w:b/>
          <w:color w:val="4472C4"/>
          <w:lang w:val="en-GB"/>
        </w:rPr>
        <w:t>Telephone:</w:t>
      </w:r>
      <w:r w:rsidRPr="000E31FC">
        <w:rPr>
          <w:color w:val="002060"/>
          <w:spacing w:val="-3"/>
          <w:lang w:val="en-GB"/>
        </w:rPr>
        <w:t xml:space="preserve"> </w:t>
      </w:r>
      <w:r w:rsidRPr="000E31FC">
        <w:rPr>
          <w:noProof/>
          <w:lang w:val="en-GB"/>
        </w:rPr>
        <w:t>+44 (0) 1785 225416</w:t>
      </w:r>
    </w:p>
    <w:p w14:paraId="4F1C539F" w14:textId="77777777" w:rsidR="00E03D45" w:rsidRPr="000E31FC" w:rsidRDefault="00E03D45" w:rsidP="008A6A7A">
      <w:pPr>
        <w:rPr>
          <w:rFonts w:eastAsia="MS Mincho"/>
          <w:spacing w:val="-3"/>
          <w:lang w:val="en-GB"/>
        </w:rPr>
      </w:pPr>
      <w:r w:rsidRPr="000E31FC">
        <w:rPr>
          <w:b/>
          <w:color w:val="4472C4"/>
          <w:lang w:val="en-GB"/>
        </w:rPr>
        <w:t>e-mail:</w:t>
      </w:r>
      <w:r w:rsidRPr="000E31FC">
        <w:rPr>
          <w:color w:val="00B050"/>
          <w:spacing w:val="-3"/>
          <w:lang w:val="en-GB"/>
        </w:rPr>
        <w:t xml:space="preserve"> </w:t>
      </w:r>
      <w:hyperlink r:id="rId20">
        <w:r w:rsidRPr="000E31FC">
          <w:rPr>
            <w:rStyle w:val="Hyperlink"/>
            <w:spacing w:val="-3"/>
            <w:lang w:val="en-GB"/>
          </w:rPr>
          <w:t>laura@stonejunction.co.uk</w:t>
        </w:r>
      </w:hyperlink>
      <w:r w:rsidRPr="000E31FC">
        <w:rPr>
          <w:spacing w:val="-3"/>
          <w:lang w:val="en-GB"/>
        </w:rPr>
        <w:t xml:space="preserve"> or </w:t>
      </w:r>
      <w:hyperlink r:id="rId21">
        <w:r w:rsidRPr="000E31FC">
          <w:rPr>
            <w:rStyle w:val="Hyperlink"/>
            <w:spacing w:val="-3"/>
            <w:lang w:val="en-GB"/>
          </w:rPr>
          <w:t>stephanie@stonejunction.co.uk</w:t>
        </w:r>
      </w:hyperlink>
      <w:r w:rsidRPr="000E31FC">
        <w:rPr>
          <w:spacing w:val="-3"/>
          <w:lang w:val="en-GB"/>
        </w:rPr>
        <w:t xml:space="preserve"> </w:t>
      </w:r>
    </w:p>
    <w:p w14:paraId="0CC0E35D" w14:textId="77777777" w:rsidR="00E03D45" w:rsidRPr="00116813" w:rsidRDefault="00E03D45" w:rsidP="008A6A7A">
      <w:pPr>
        <w:rPr>
          <w:rFonts w:eastAsia="MS Mincho"/>
          <w:spacing w:val="-3"/>
          <w:lang w:val="en-GB"/>
        </w:rPr>
      </w:pPr>
      <w:r w:rsidRPr="00116813">
        <w:rPr>
          <w:b/>
          <w:color w:val="4472C4"/>
          <w:lang w:val="en-GB"/>
        </w:rPr>
        <w:t>www:</w:t>
      </w:r>
      <w:r w:rsidRPr="00116813">
        <w:rPr>
          <w:color w:val="00B050"/>
          <w:spacing w:val="-3"/>
          <w:lang w:val="en-GB"/>
        </w:rPr>
        <w:t xml:space="preserve"> </w:t>
      </w:r>
      <w:hyperlink r:id="rId22">
        <w:r w:rsidRPr="00116813">
          <w:rPr>
            <w:rStyle w:val="Hyperlink"/>
            <w:spacing w:val="-3"/>
            <w:lang w:val="en-GB"/>
          </w:rPr>
          <w:t>www.stonejunction.co.uk</w:t>
        </w:r>
      </w:hyperlink>
      <w:r w:rsidRPr="00116813">
        <w:rPr>
          <w:spacing w:val="-3"/>
          <w:lang w:val="en-GB"/>
        </w:rPr>
        <w:t xml:space="preserve">  </w:t>
      </w:r>
    </w:p>
    <w:p w14:paraId="3346A840" w14:textId="77777777" w:rsidR="00E03D45" w:rsidRPr="00116813" w:rsidRDefault="00E03D45" w:rsidP="008A6A7A">
      <w:pPr>
        <w:rPr>
          <w:rFonts w:eastAsia="MS Mincho"/>
          <w:bCs/>
          <w:color w:val="002060"/>
          <w:spacing w:val="-3"/>
          <w:lang w:val="en-GB"/>
        </w:rPr>
      </w:pPr>
      <w:r w:rsidRPr="00116813">
        <w:rPr>
          <w:b/>
          <w:color w:val="4472C4"/>
          <w:lang w:val="en-GB"/>
        </w:rPr>
        <w:t>Twitter:</w:t>
      </w:r>
      <w:r w:rsidRPr="00116813">
        <w:rPr>
          <w:b/>
          <w:color w:val="00529C"/>
          <w:spacing w:val="-3"/>
          <w:lang w:val="en-GB"/>
        </w:rPr>
        <w:t xml:space="preserve"> </w:t>
      </w:r>
      <w:hyperlink r:id="rId23">
        <w:r w:rsidRPr="00116813">
          <w:rPr>
            <w:rStyle w:val="Hyperlink"/>
            <w:spacing w:val="-3"/>
            <w:lang w:val="en-GB"/>
          </w:rPr>
          <w:t>www.twitter.com/StoneJunctionPR</w:t>
        </w:r>
      </w:hyperlink>
    </w:p>
    <w:p w14:paraId="38B16A8E" w14:textId="77777777" w:rsidR="00E03D45" w:rsidRPr="000E31FC" w:rsidRDefault="00E03D45" w:rsidP="008A6A7A">
      <w:pPr>
        <w:rPr>
          <w:rFonts w:eastAsia="MS Mincho"/>
          <w:bCs/>
          <w:color w:val="002060"/>
          <w:spacing w:val="-3"/>
          <w:lang w:val="en-GB"/>
        </w:rPr>
      </w:pPr>
      <w:r w:rsidRPr="000E31FC">
        <w:rPr>
          <w:b/>
          <w:color w:val="4472C4"/>
          <w:lang w:val="en-GB"/>
        </w:rPr>
        <w:t>Facebook:</w:t>
      </w:r>
      <w:r w:rsidRPr="000E31FC">
        <w:rPr>
          <w:b/>
          <w:color w:val="00B050"/>
          <w:spacing w:val="-3"/>
          <w:lang w:val="en-GB"/>
        </w:rPr>
        <w:t xml:space="preserve"> </w:t>
      </w:r>
      <w:hyperlink r:id="rId24">
        <w:r w:rsidRPr="000E31FC">
          <w:rPr>
            <w:rStyle w:val="Hyperlink"/>
            <w:lang w:val="en-GB"/>
          </w:rPr>
          <w:t>http://www.facebook.com/technicalPR</w:t>
        </w:r>
      </w:hyperlink>
    </w:p>
    <w:p w14:paraId="0951921F" w14:textId="77777777" w:rsidR="00E03D45" w:rsidRPr="00116813" w:rsidRDefault="00E03D45" w:rsidP="008A6A7A">
      <w:pPr>
        <w:rPr>
          <w:rFonts w:eastAsia="MS Mincho"/>
          <w:b/>
          <w:bCs/>
          <w:color w:val="002060"/>
          <w:spacing w:val="-3"/>
          <w:lang w:val="en-GB"/>
        </w:rPr>
      </w:pPr>
      <w:r w:rsidRPr="00116813">
        <w:rPr>
          <w:b/>
          <w:color w:val="4472C4"/>
          <w:lang w:val="en-GB"/>
        </w:rPr>
        <w:t>LinkedIn:</w:t>
      </w:r>
      <w:r w:rsidRPr="00116813">
        <w:rPr>
          <w:noProof/>
          <w:color w:val="4472C4"/>
          <w:lang w:val="en-GB"/>
        </w:rPr>
        <w:t xml:space="preserve"> </w:t>
      </w:r>
      <w:hyperlink r:id="rId25">
        <w:r w:rsidRPr="00116813">
          <w:rPr>
            <w:rStyle w:val="Hyperlink"/>
            <w:lang w:val="en-GB"/>
          </w:rPr>
          <w:t>https://www.linkedin.com/company/stone-junction-ltd</w:t>
        </w:r>
      </w:hyperlink>
    </w:p>
    <w:p w14:paraId="195F5C25" w14:textId="77777777" w:rsidR="00E03D45" w:rsidRPr="00116813" w:rsidRDefault="00E03D45" w:rsidP="008A6A7A">
      <w:pPr>
        <w:rPr>
          <w:rFonts w:eastAsia="MS Mincho"/>
          <w:b/>
          <w:bCs/>
          <w:color w:val="439639"/>
          <w:lang w:val="en-GB"/>
        </w:rPr>
      </w:pPr>
    </w:p>
    <w:p w14:paraId="7A5EC9B6" w14:textId="77777777" w:rsidR="00A97965" w:rsidRPr="000E31FC" w:rsidRDefault="00382C38" w:rsidP="00A97965">
      <w:pPr>
        <w:pStyle w:val="NormalWeb"/>
        <w:jc w:val="both"/>
        <w:rPr>
          <w:rFonts w:ascii="Arial" w:hAnsi="Arial" w:cs="Arial"/>
          <w:lang w:val="en-GB"/>
        </w:rPr>
      </w:pPr>
      <w:r w:rsidRPr="000E31FC">
        <w:rPr>
          <w:rFonts w:ascii="Arial" w:hAnsi="Arial"/>
          <w:b/>
          <w:color w:val="4472C4"/>
          <w:lang w:val="en-GB"/>
        </w:rPr>
        <w:t>About WEG:</w:t>
      </w:r>
      <w:r w:rsidRPr="000E31FC">
        <w:rPr>
          <w:rFonts w:ascii="Arial" w:hAnsi="Arial"/>
          <w:color w:val="2D2B2B"/>
          <w:shd w:val="clear" w:color="auto" w:fill="FFFFFF"/>
          <w:lang w:val="en-GB"/>
        </w:rPr>
        <w:t xml:space="preserve"> </w:t>
      </w:r>
      <w:r w:rsidRPr="000E31FC">
        <w:rPr>
          <w:rFonts w:ascii="Arial" w:hAnsi="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16D35E4" w14:textId="77777777" w:rsidR="007E1C8F" w:rsidRPr="000E31FC" w:rsidRDefault="007E1C8F" w:rsidP="007E1C8F">
      <w:pPr>
        <w:pStyle w:val="NormalWeb"/>
        <w:jc w:val="both"/>
        <w:rPr>
          <w:rFonts w:ascii="Arial" w:hAnsi="Arial" w:cs="Arial"/>
        </w:rPr>
      </w:pPr>
      <w:r w:rsidRPr="000E31FC">
        <w:rPr>
          <w:rFonts w:ascii="Arial" w:hAnsi="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WEG’s net revenue reached R$ 32.5 billion in 2023, 53 per cent from external markets. </w:t>
      </w:r>
      <w:r w:rsidRPr="000E31FC">
        <w:rPr>
          <w:rFonts w:ascii="Arial" w:hAnsi="Arial"/>
        </w:rPr>
        <w:t xml:space="preserve">For more information, visit </w:t>
      </w:r>
      <w:hyperlink r:id="rId26">
        <w:r w:rsidRPr="000E31FC">
          <w:rPr>
            <w:rStyle w:val="Hyperlink"/>
            <w:rFonts w:ascii="Arial" w:hAnsi="Arial"/>
          </w:rPr>
          <w:t>www.weg.net</w:t>
        </w:r>
      </w:hyperlink>
    </w:p>
    <w:p w14:paraId="75B93F85" w14:textId="77777777" w:rsidR="008A6A7A" w:rsidRPr="000E31FC" w:rsidRDefault="008A6A7A" w:rsidP="00E03D45">
      <w:pPr>
        <w:rPr>
          <w:rFonts w:cs="Arial"/>
          <w:bCs/>
        </w:rPr>
      </w:pPr>
    </w:p>
    <w:p w14:paraId="5EC6CD65" w14:textId="77777777" w:rsidR="00E03D45" w:rsidRPr="000E31FC" w:rsidRDefault="00E03D45" w:rsidP="00E03D45">
      <w:pPr>
        <w:rPr>
          <w:rFonts w:eastAsia="MS Mincho" w:cs="Arial"/>
          <w:b/>
          <w:color w:val="CC3300"/>
          <w:spacing w:val="-3"/>
        </w:rPr>
      </w:pPr>
      <w:r w:rsidRPr="000E31FC">
        <w:rPr>
          <w:b/>
          <w:color w:val="4472C4"/>
        </w:rPr>
        <w:t>Ref:</w:t>
      </w:r>
      <w:r w:rsidRPr="000E31FC">
        <w:rPr>
          <w:spacing w:val="-3"/>
        </w:rPr>
        <w:t xml:space="preserve"> WEG938/09/24</w:t>
      </w:r>
    </w:p>
    <w:p w14:paraId="0BC2941B" w14:textId="77777777" w:rsidR="00B86E1F" w:rsidRPr="000E31FC" w:rsidRDefault="00B86E1F" w:rsidP="00E03D45">
      <w:pPr>
        <w:rPr>
          <w:rFonts w:eastAsia="MS Mincho" w:cs="Arial"/>
          <w:b/>
          <w:color w:val="CC3300"/>
          <w:spacing w:val="-3"/>
        </w:rPr>
      </w:pPr>
    </w:p>
    <w:sectPr w:rsidR="00B86E1F" w:rsidRPr="000E31FC"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0EB3F" w14:textId="77777777" w:rsidR="006505EA" w:rsidRDefault="006505EA" w:rsidP="00C0175F">
      <w:r>
        <w:separator/>
      </w:r>
    </w:p>
  </w:endnote>
  <w:endnote w:type="continuationSeparator" w:id="0">
    <w:p w14:paraId="51CA44CC" w14:textId="77777777" w:rsidR="006505EA" w:rsidRDefault="006505EA"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C9D3B" w14:textId="77777777" w:rsidR="006505EA" w:rsidRDefault="006505EA" w:rsidP="00C0175F">
      <w:r>
        <w:separator/>
      </w:r>
    </w:p>
  </w:footnote>
  <w:footnote w:type="continuationSeparator" w:id="0">
    <w:p w14:paraId="3F7ECC4C" w14:textId="77777777" w:rsidR="006505EA" w:rsidRDefault="006505EA"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8188E"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026204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1FDF"/>
    <w:rsid w:val="00012707"/>
    <w:rsid w:val="000245BC"/>
    <w:rsid w:val="00027D32"/>
    <w:rsid w:val="00045BF8"/>
    <w:rsid w:val="0005012E"/>
    <w:rsid w:val="000631B4"/>
    <w:rsid w:val="00082862"/>
    <w:rsid w:val="00084EF8"/>
    <w:rsid w:val="000B7E0B"/>
    <w:rsid w:val="000C2851"/>
    <w:rsid w:val="000C3DDD"/>
    <w:rsid w:val="000D6C36"/>
    <w:rsid w:val="000E31FC"/>
    <w:rsid w:val="000E48AB"/>
    <w:rsid w:val="000F78F9"/>
    <w:rsid w:val="00102DBC"/>
    <w:rsid w:val="0010339A"/>
    <w:rsid w:val="00116813"/>
    <w:rsid w:val="00155C9B"/>
    <w:rsid w:val="0016066F"/>
    <w:rsid w:val="00165FE6"/>
    <w:rsid w:val="00173F30"/>
    <w:rsid w:val="001749B1"/>
    <w:rsid w:val="00177BF1"/>
    <w:rsid w:val="00185800"/>
    <w:rsid w:val="001A0E93"/>
    <w:rsid w:val="001B2D8F"/>
    <w:rsid w:val="001B7000"/>
    <w:rsid w:val="001C062A"/>
    <w:rsid w:val="001C4B73"/>
    <w:rsid w:val="001D6804"/>
    <w:rsid w:val="001F6C05"/>
    <w:rsid w:val="002018B3"/>
    <w:rsid w:val="002729EE"/>
    <w:rsid w:val="002A1459"/>
    <w:rsid w:val="002A4040"/>
    <w:rsid w:val="002A51D7"/>
    <w:rsid w:val="002A53F6"/>
    <w:rsid w:val="002B2F32"/>
    <w:rsid w:val="002B46A2"/>
    <w:rsid w:val="002B5A47"/>
    <w:rsid w:val="002E58A3"/>
    <w:rsid w:val="0030281F"/>
    <w:rsid w:val="00302AA3"/>
    <w:rsid w:val="00310921"/>
    <w:rsid w:val="0032338F"/>
    <w:rsid w:val="00344857"/>
    <w:rsid w:val="00351818"/>
    <w:rsid w:val="003646FD"/>
    <w:rsid w:val="003708FC"/>
    <w:rsid w:val="00382C38"/>
    <w:rsid w:val="00387BB5"/>
    <w:rsid w:val="00396D46"/>
    <w:rsid w:val="00397F17"/>
    <w:rsid w:val="003A398C"/>
    <w:rsid w:val="003A7BBA"/>
    <w:rsid w:val="003C47B8"/>
    <w:rsid w:val="003C5F56"/>
    <w:rsid w:val="003D250E"/>
    <w:rsid w:val="003D4398"/>
    <w:rsid w:val="003E5474"/>
    <w:rsid w:val="004046B9"/>
    <w:rsid w:val="00417EB1"/>
    <w:rsid w:val="004225DF"/>
    <w:rsid w:val="004342A8"/>
    <w:rsid w:val="00434702"/>
    <w:rsid w:val="00450952"/>
    <w:rsid w:val="00463485"/>
    <w:rsid w:val="00492E4F"/>
    <w:rsid w:val="004948DB"/>
    <w:rsid w:val="004A2AA0"/>
    <w:rsid w:val="004A7655"/>
    <w:rsid w:val="004D1123"/>
    <w:rsid w:val="004E7AE3"/>
    <w:rsid w:val="004F78A4"/>
    <w:rsid w:val="00500E9F"/>
    <w:rsid w:val="005076D1"/>
    <w:rsid w:val="00522573"/>
    <w:rsid w:val="00524B55"/>
    <w:rsid w:val="00551987"/>
    <w:rsid w:val="00575480"/>
    <w:rsid w:val="00580101"/>
    <w:rsid w:val="005973B5"/>
    <w:rsid w:val="005B6C56"/>
    <w:rsid w:val="005C3A2D"/>
    <w:rsid w:val="005C3DF8"/>
    <w:rsid w:val="005C72BE"/>
    <w:rsid w:val="005F0A68"/>
    <w:rsid w:val="005F20B4"/>
    <w:rsid w:val="0061053B"/>
    <w:rsid w:val="006154AA"/>
    <w:rsid w:val="006320A8"/>
    <w:rsid w:val="006370B7"/>
    <w:rsid w:val="0064285E"/>
    <w:rsid w:val="006505EA"/>
    <w:rsid w:val="00656564"/>
    <w:rsid w:val="00657D3F"/>
    <w:rsid w:val="00675A02"/>
    <w:rsid w:val="00685357"/>
    <w:rsid w:val="00685A84"/>
    <w:rsid w:val="00687C41"/>
    <w:rsid w:val="006A1D50"/>
    <w:rsid w:val="006B7A4C"/>
    <w:rsid w:val="006C5423"/>
    <w:rsid w:val="006D0EBA"/>
    <w:rsid w:val="006F0BF9"/>
    <w:rsid w:val="00726E08"/>
    <w:rsid w:val="00737F3E"/>
    <w:rsid w:val="00763095"/>
    <w:rsid w:val="007630C7"/>
    <w:rsid w:val="007716D6"/>
    <w:rsid w:val="007765F0"/>
    <w:rsid w:val="007A1A2E"/>
    <w:rsid w:val="007A2697"/>
    <w:rsid w:val="007B2663"/>
    <w:rsid w:val="007B37CB"/>
    <w:rsid w:val="007E1C8F"/>
    <w:rsid w:val="007E5B66"/>
    <w:rsid w:val="007F3F1C"/>
    <w:rsid w:val="00811A21"/>
    <w:rsid w:val="0081437B"/>
    <w:rsid w:val="00821FF8"/>
    <w:rsid w:val="00856AAC"/>
    <w:rsid w:val="00857350"/>
    <w:rsid w:val="008575DB"/>
    <w:rsid w:val="008844A3"/>
    <w:rsid w:val="008A6A7A"/>
    <w:rsid w:val="008C54F4"/>
    <w:rsid w:val="008D63D5"/>
    <w:rsid w:val="008D73D4"/>
    <w:rsid w:val="008E6D31"/>
    <w:rsid w:val="00910E33"/>
    <w:rsid w:val="00920BA5"/>
    <w:rsid w:val="009213B5"/>
    <w:rsid w:val="00924FCE"/>
    <w:rsid w:val="009379E0"/>
    <w:rsid w:val="00947352"/>
    <w:rsid w:val="009701B9"/>
    <w:rsid w:val="00981A09"/>
    <w:rsid w:val="009D7744"/>
    <w:rsid w:val="00A23B44"/>
    <w:rsid w:val="00A33F1E"/>
    <w:rsid w:val="00A57DBE"/>
    <w:rsid w:val="00A6674F"/>
    <w:rsid w:val="00A70971"/>
    <w:rsid w:val="00A73549"/>
    <w:rsid w:val="00A832B5"/>
    <w:rsid w:val="00A97965"/>
    <w:rsid w:val="00B02318"/>
    <w:rsid w:val="00B04F8D"/>
    <w:rsid w:val="00B1798B"/>
    <w:rsid w:val="00B258B4"/>
    <w:rsid w:val="00B8312E"/>
    <w:rsid w:val="00B86129"/>
    <w:rsid w:val="00B86E1F"/>
    <w:rsid w:val="00B900D7"/>
    <w:rsid w:val="00BA1076"/>
    <w:rsid w:val="00BB45FA"/>
    <w:rsid w:val="00BC3B0E"/>
    <w:rsid w:val="00BC3DFC"/>
    <w:rsid w:val="00BD0366"/>
    <w:rsid w:val="00BD1859"/>
    <w:rsid w:val="00BF70D7"/>
    <w:rsid w:val="00C00639"/>
    <w:rsid w:val="00C0175F"/>
    <w:rsid w:val="00C01B6D"/>
    <w:rsid w:val="00C03BA0"/>
    <w:rsid w:val="00C07ADE"/>
    <w:rsid w:val="00C07DAB"/>
    <w:rsid w:val="00C20A04"/>
    <w:rsid w:val="00C53825"/>
    <w:rsid w:val="00C94AB3"/>
    <w:rsid w:val="00C94B4E"/>
    <w:rsid w:val="00CA0066"/>
    <w:rsid w:val="00CA611D"/>
    <w:rsid w:val="00CB26E7"/>
    <w:rsid w:val="00CB5356"/>
    <w:rsid w:val="00CE2898"/>
    <w:rsid w:val="00CF297A"/>
    <w:rsid w:val="00CF5A1B"/>
    <w:rsid w:val="00CF666D"/>
    <w:rsid w:val="00D151AE"/>
    <w:rsid w:val="00D15767"/>
    <w:rsid w:val="00D52945"/>
    <w:rsid w:val="00D57F17"/>
    <w:rsid w:val="00D73506"/>
    <w:rsid w:val="00D80086"/>
    <w:rsid w:val="00D84B54"/>
    <w:rsid w:val="00D9293B"/>
    <w:rsid w:val="00D951A4"/>
    <w:rsid w:val="00DB57D6"/>
    <w:rsid w:val="00DB75D6"/>
    <w:rsid w:val="00DD149B"/>
    <w:rsid w:val="00DE1B48"/>
    <w:rsid w:val="00DE3409"/>
    <w:rsid w:val="00DF28C6"/>
    <w:rsid w:val="00E008B8"/>
    <w:rsid w:val="00E03D45"/>
    <w:rsid w:val="00E04E95"/>
    <w:rsid w:val="00E05EA0"/>
    <w:rsid w:val="00E10654"/>
    <w:rsid w:val="00E14628"/>
    <w:rsid w:val="00E23DAC"/>
    <w:rsid w:val="00E364E4"/>
    <w:rsid w:val="00E44E5D"/>
    <w:rsid w:val="00E44F5A"/>
    <w:rsid w:val="00E461CF"/>
    <w:rsid w:val="00E527AD"/>
    <w:rsid w:val="00E623A0"/>
    <w:rsid w:val="00E70F9A"/>
    <w:rsid w:val="00E777CA"/>
    <w:rsid w:val="00E85586"/>
    <w:rsid w:val="00E8641C"/>
    <w:rsid w:val="00E90E46"/>
    <w:rsid w:val="00EB1D2A"/>
    <w:rsid w:val="00EB2DE2"/>
    <w:rsid w:val="00EB4C49"/>
    <w:rsid w:val="00EC2112"/>
    <w:rsid w:val="00ED0481"/>
    <w:rsid w:val="00ED43F9"/>
    <w:rsid w:val="00EE04DD"/>
    <w:rsid w:val="00F13AF7"/>
    <w:rsid w:val="00F24E50"/>
    <w:rsid w:val="00F25431"/>
    <w:rsid w:val="00F603CF"/>
    <w:rsid w:val="00F65F0B"/>
    <w:rsid w:val="00F668D0"/>
    <w:rsid w:val="00F67887"/>
    <w:rsid w:val="00F735BF"/>
    <w:rsid w:val="00F804A5"/>
    <w:rsid w:val="00F9210A"/>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55B6E0"/>
  <w15:docId w15:val="{5C1D1D33-9CE3-423C-9C68-CA0290480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paragraph" w:styleId="Revision">
    <w:name w:val="Revision"/>
    <w:hidden/>
    <w:uiPriority w:val="99"/>
    <w:semiHidden/>
    <w:rsid w:val="00E623A0"/>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BB45F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B45FA"/>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MU/en/Industrial-Automation/Programmable-Logic-Controllers-(PLC)/Programmable-Logic-Controller-PLC500/PROGRAMMABLE-CONTROLLER-PLC500MC/p/16034971?utm_source=Stone+Junction&amp;utm_medium=Hard_news&amp;utm_campaign=WEG938&amp;amp"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tone+Junction&amp;utm_medium=Hard_news&amp;utm_campaign=WEG938&amp;utm_id=WEG938&amp;utm_term=PLC500&amp;utm_content=Earned"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mailto:sales@weg.net" TargetMode="External"/><Relationship Id="rId20" Type="http://schemas.openxmlformats.org/officeDocument/2006/relationships/hyperlink" Target="mailto:laura@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www.weg.net/institutional/GB/en/?utm_source=Stone+Junction&amp;utm_medium=Hard_news&amp;utm_campaign=WEG938&amp;utm_id=WEG938&amp;utm_term=PLC500&amp;utm_content=Earned"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info-uk@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NE/en/Industrial-Automation/Programmable-Logic-Controllers-(PLC)/Programmable-Logic-Controller-PLC500/PROGRAMMABLE-CONTROLLER-PLC500ED/p/16034882?utm_source=Stone+Junction&amp;utm_medium=Hard_news&amp;utm_campaign=WEG938&amp;amp" TargetMode="External"/><Relationship Id="rId22" Type="http://schemas.openxmlformats.org/officeDocument/2006/relationships/hyperlink" Target="http://www.stonejunction.co.uk/"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D4C05946-3866-436C-8DBF-A0F7016AE0C7}">
  <ds:schemaRefs>
    <ds:schemaRef ds:uri="http://schemas.openxmlformats.org/officeDocument/2006/bibliography"/>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1145</Words>
  <Characters>6531</Characters>
  <Application>Microsoft Office Word</Application>
  <DocSecurity>0</DocSecurity>
  <Lines>54</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7661</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Wood</cp:lastModifiedBy>
  <cp:revision>2</cp:revision>
  <cp:lastPrinted>2013-11-27T21:43:00Z</cp:lastPrinted>
  <dcterms:created xsi:type="dcterms:W3CDTF">2025-01-16T15:24:00Z</dcterms:created>
  <dcterms:modified xsi:type="dcterms:W3CDTF">2025-01-16T15:24:00Z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