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533313" w14:textId="77777777" w:rsidR="00073A18" w:rsidRPr="002C7D7A" w:rsidRDefault="00073A18">
      <w:pPr>
        <w:rPr>
          <w:rFonts w:ascii="Arial" w:hAnsi="Arial" w:cs="Arial"/>
          <w:sz w:val="24"/>
          <w:szCs w:val="24"/>
          <w:lang w:val="fr-FR"/>
        </w:rPr>
      </w:pPr>
    </w:p>
    <w:p w14:paraId="48F77235" w14:textId="57E53FF5" w:rsidR="004F5B55" w:rsidRPr="002C7D7A" w:rsidRDefault="004F5B55">
      <w:pPr>
        <w:rPr>
          <w:rFonts w:ascii="Arial" w:hAnsi="Arial" w:cs="Arial"/>
          <w:sz w:val="24"/>
          <w:szCs w:val="24"/>
          <w:lang w:val="fr-FR"/>
        </w:rPr>
      </w:pPr>
    </w:p>
    <w:p w14:paraId="3C002D9E" w14:textId="15C1D20B" w:rsidR="004F5B55" w:rsidRPr="009A4BF3" w:rsidRDefault="00517FE1" w:rsidP="004F5B55">
      <w:pPr>
        <w:pStyle w:val="Heading1"/>
        <w:spacing w:line="360" w:lineRule="auto"/>
        <w:rPr>
          <w:rFonts w:ascii="Arial" w:hAnsi="Arial" w:cs="Arial"/>
          <w:sz w:val="24"/>
          <w:szCs w:val="24"/>
        </w:rPr>
      </w:pPr>
      <w:r>
        <w:rPr>
          <w:noProof/>
        </w:rPr>
        <w:drawing>
          <wp:anchor distT="0" distB="0" distL="114300" distR="114300" simplePos="0" relativeHeight="251658240" behindDoc="0" locked="0" layoutInCell="1" allowOverlap="1" wp14:anchorId="391C7EC5" wp14:editId="23F126B8">
            <wp:simplePos x="0" y="0"/>
            <wp:positionH relativeFrom="column">
              <wp:posOffset>-238443</wp:posOffset>
            </wp:positionH>
            <wp:positionV relativeFrom="paragraph">
              <wp:posOffset>185102</wp:posOffset>
            </wp:positionV>
            <wp:extent cx="1348105" cy="948055"/>
            <wp:effectExtent l="0" t="0" r="4445" b="4445"/>
            <wp:wrapSquare wrapText="bothSides"/>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48105" cy="948055"/>
                    </a:xfrm>
                    <a:prstGeom prst="rect">
                      <a:avLst/>
                    </a:prstGeom>
                    <a:noFill/>
                    <a:ln>
                      <a:noFill/>
                    </a:ln>
                  </pic:spPr>
                </pic:pic>
              </a:graphicData>
            </a:graphic>
          </wp:anchor>
        </w:drawing>
      </w:r>
    </w:p>
    <w:p w14:paraId="20C1D1DD" w14:textId="6533F819" w:rsidR="00517FE1" w:rsidRDefault="00517FE1" w:rsidP="00FB5989">
      <w:pPr>
        <w:spacing w:line="480" w:lineRule="auto"/>
        <w:jc w:val="center"/>
        <w:rPr>
          <w:rFonts w:ascii="Arial" w:hAnsi="Arial" w:cs="Arial"/>
          <w:b/>
          <w:bCs/>
          <w:sz w:val="32"/>
          <w:szCs w:val="32"/>
          <w:lang w:val="fr"/>
        </w:rPr>
      </w:pPr>
    </w:p>
    <w:p w14:paraId="6C2D85D7" w14:textId="77777777" w:rsidR="00517FE1" w:rsidRDefault="00517FE1" w:rsidP="00FB5989">
      <w:pPr>
        <w:spacing w:line="480" w:lineRule="auto"/>
        <w:jc w:val="center"/>
        <w:rPr>
          <w:rFonts w:ascii="Arial" w:hAnsi="Arial" w:cs="Arial"/>
          <w:b/>
          <w:bCs/>
          <w:sz w:val="32"/>
          <w:szCs w:val="32"/>
          <w:lang w:val="fr"/>
        </w:rPr>
      </w:pPr>
    </w:p>
    <w:p w14:paraId="5C8AAE32" w14:textId="47A3A63E" w:rsidR="00FB5989" w:rsidRPr="002C7D7A" w:rsidRDefault="009A4BF3" w:rsidP="00FB5989">
      <w:pPr>
        <w:spacing w:line="480" w:lineRule="auto"/>
        <w:jc w:val="center"/>
        <w:rPr>
          <w:rFonts w:ascii="Arial" w:hAnsi="Arial" w:cs="Arial"/>
          <w:b/>
          <w:sz w:val="32"/>
          <w:szCs w:val="32"/>
          <w:lang w:val="fr-FR"/>
        </w:rPr>
      </w:pPr>
      <w:r>
        <w:rPr>
          <w:rFonts w:ascii="Arial" w:hAnsi="Arial" w:cs="Arial"/>
          <w:b/>
          <w:bCs/>
          <w:sz w:val="32"/>
          <w:szCs w:val="32"/>
          <w:lang w:val="fr"/>
        </w:rPr>
        <w:t>20 bonnes raisons de choisir un moteur WG20</w:t>
      </w:r>
    </w:p>
    <w:p w14:paraId="783B4C69" w14:textId="4220F23D" w:rsidR="004D1E76" w:rsidRPr="002C7D7A" w:rsidRDefault="004D1E76" w:rsidP="00FB5989">
      <w:pPr>
        <w:spacing w:line="480" w:lineRule="auto"/>
        <w:jc w:val="center"/>
        <w:rPr>
          <w:rFonts w:ascii="Arial" w:hAnsi="Arial" w:cs="Arial"/>
          <w:b/>
          <w:sz w:val="20"/>
          <w:szCs w:val="20"/>
          <w:lang w:val="fr-FR"/>
        </w:rPr>
      </w:pPr>
      <w:r>
        <w:rPr>
          <w:rFonts w:ascii="Arial" w:hAnsi="Arial" w:cs="Arial"/>
          <w:b/>
          <w:bCs/>
          <w:sz w:val="24"/>
          <w:szCs w:val="24"/>
          <w:lang w:val="fr"/>
        </w:rPr>
        <w:t>~ WEG publie les caractéristiques techniques des moteurs de la gamme WG20 ~</w:t>
      </w:r>
    </w:p>
    <w:p w14:paraId="19F489D7" w14:textId="7CC177BD" w:rsidR="00124327" w:rsidRPr="002C7D7A" w:rsidRDefault="004D1E76" w:rsidP="00A508DF">
      <w:pPr>
        <w:spacing w:line="480" w:lineRule="auto"/>
        <w:jc w:val="both"/>
        <w:rPr>
          <w:rFonts w:ascii="Arial" w:hAnsi="Arial" w:cs="Arial"/>
          <w:b/>
          <w:sz w:val="24"/>
          <w:szCs w:val="24"/>
          <w:lang w:val="fr-FR"/>
        </w:rPr>
      </w:pPr>
      <w:r>
        <w:rPr>
          <w:rFonts w:ascii="Arial" w:hAnsi="Arial" w:cs="Arial"/>
          <w:sz w:val="24"/>
          <w:szCs w:val="24"/>
          <w:lang w:val="fr"/>
        </w:rPr>
        <w:br/>
      </w:r>
      <w:r>
        <w:rPr>
          <w:rFonts w:ascii="Arial" w:hAnsi="Arial" w:cs="Arial"/>
          <w:b/>
          <w:bCs/>
          <w:sz w:val="24"/>
          <w:szCs w:val="24"/>
          <w:lang w:val="fr"/>
        </w:rPr>
        <w:t xml:space="preserve">La sélection d'un moteur à engrenage nécessite de prendre en compte toute une série de considérations techniques. Pour simplifier l'achat, le </w:t>
      </w:r>
      <w:hyperlink r:id="rId9" w:history="1">
        <w:r>
          <w:rPr>
            <w:rStyle w:val="Hyperlink"/>
            <w:rFonts w:ascii="Arial" w:hAnsi="Arial" w:cs="Arial"/>
            <w:b/>
            <w:bCs/>
            <w:sz w:val="24"/>
            <w:szCs w:val="24"/>
            <w:lang w:val="fr"/>
          </w:rPr>
          <w:t>fabricant mondial</w:t>
        </w:r>
      </w:hyperlink>
      <w:r>
        <w:rPr>
          <w:rFonts w:ascii="Arial" w:hAnsi="Arial" w:cs="Arial"/>
          <w:b/>
          <w:bCs/>
          <w:sz w:val="24"/>
          <w:szCs w:val="24"/>
          <w:lang w:val="fr"/>
        </w:rPr>
        <w:t xml:space="preserve"> de moteurs à engrenages et variateurs de vitesse WEG a publié un guide intitulé </w:t>
      </w:r>
      <w:hyperlink r:id="rId10" w:history="1">
        <w:r>
          <w:rPr>
            <w:rStyle w:val="Hyperlink"/>
            <w:rFonts w:ascii="Arial" w:hAnsi="Arial" w:cs="Arial"/>
            <w:b/>
            <w:bCs/>
            <w:i/>
            <w:iCs/>
            <w:sz w:val="24"/>
            <w:szCs w:val="24"/>
            <w:lang w:val="fr"/>
          </w:rPr>
          <w:t>20 bonnes raisons de choisir les moteurs WG20</w:t>
        </w:r>
      </w:hyperlink>
      <w:r>
        <w:rPr>
          <w:rFonts w:ascii="Arial" w:hAnsi="Arial" w:cs="Arial"/>
          <w:b/>
          <w:bCs/>
          <w:sz w:val="24"/>
          <w:szCs w:val="24"/>
          <w:lang w:val="fr"/>
        </w:rPr>
        <w:t xml:space="preserve">. Ce guide explore les principaux aspects à prendre en compte pour l'achat d'un moteur à engrenage et explique pourquoi, dans l'industrie actuelle, il est essentiel de choisir un moteur pérenne.  Pour télécharger le guide, rendez-vous sur </w:t>
      </w:r>
      <w:hyperlink r:id="rId11" w:history="1">
        <w:r>
          <w:rPr>
            <w:rStyle w:val="Hyperlink"/>
            <w:rFonts w:ascii="Arial" w:hAnsi="Arial" w:cs="Arial"/>
            <w:b/>
            <w:bCs/>
            <w:sz w:val="24"/>
            <w:szCs w:val="24"/>
            <w:lang w:val="fr"/>
          </w:rPr>
          <w:t>www.weg-WG20.com</w:t>
        </w:r>
      </w:hyperlink>
      <w:r>
        <w:rPr>
          <w:rFonts w:ascii="Arial" w:hAnsi="Arial" w:cs="Arial"/>
          <w:b/>
          <w:bCs/>
          <w:sz w:val="24"/>
          <w:szCs w:val="24"/>
          <w:lang w:val="fr"/>
        </w:rPr>
        <w:t>.</w:t>
      </w:r>
    </w:p>
    <w:p w14:paraId="589E2FDC" w14:textId="77777777" w:rsidR="004F123D" w:rsidRPr="002C7D7A" w:rsidRDefault="004F123D" w:rsidP="00A508DF">
      <w:pPr>
        <w:spacing w:line="480" w:lineRule="auto"/>
        <w:jc w:val="both"/>
        <w:rPr>
          <w:rFonts w:ascii="Arial" w:hAnsi="Arial" w:cs="Arial"/>
          <w:b/>
          <w:sz w:val="24"/>
          <w:szCs w:val="24"/>
          <w:lang w:val="fr-FR"/>
        </w:rPr>
      </w:pPr>
    </w:p>
    <w:p w14:paraId="615FC6B7" w14:textId="07F65B24" w:rsidR="004D1E76" w:rsidRPr="002C7D7A" w:rsidRDefault="00623CF2" w:rsidP="00766C1D">
      <w:pPr>
        <w:spacing w:line="480" w:lineRule="auto"/>
        <w:jc w:val="both"/>
        <w:rPr>
          <w:rFonts w:ascii="Arial" w:hAnsi="Arial" w:cs="Arial"/>
          <w:bCs/>
          <w:sz w:val="24"/>
          <w:szCs w:val="24"/>
          <w:lang w:val="fr-FR"/>
        </w:rPr>
      </w:pPr>
      <w:r>
        <w:rPr>
          <w:rFonts w:ascii="Arial" w:hAnsi="Arial" w:cs="Arial"/>
          <w:sz w:val="24"/>
          <w:szCs w:val="24"/>
          <w:lang w:val="fr"/>
        </w:rPr>
        <w:t xml:space="preserve">Les moteurs à engrenages sont probablement les types d'entraînement les plus importants dans l'industrie, et le tout dernier guide de WEG vise à aider les acheteurs à sélectionner l'équipement adapté à l'application que veut en faire leur entreprise. Ce guide explore les principaux aspects des précédents manuels des moteurs à engrenages de WEG, tout en se concentrant sur la nouvelle gamme WG20 et ses caractéristiques techniques. </w:t>
      </w:r>
    </w:p>
    <w:p w14:paraId="5BA3843A" w14:textId="77777777" w:rsidR="004D1E76" w:rsidRPr="002C7D7A" w:rsidRDefault="004D1E76" w:rsidP="00766C1D">
      <w:pPr>
        <w:spacing w:line="480" w:lineRule="auto"/>
        <w:jc w:val="both"/>
        <w:rPr>
          <w:rFonts w:ascii="Arial" w:hAnsi="Arial" w:cs="Arial"/>
          <w:bCs/>
          <w:sz w:val="24"/>
          <w:szCs w:val="24"/>
          <w:lang w:val="fr-FR"/>
        </w:rPr>
      </w:pPr>
    </w:p>
    <w:p w14:paraId="62EDAE39" w14:textId="325756A3" w:rsidR="00766C1D" w:rsidRPr="002C7D7A" w:rsidRDefault="00766C1D" w:rsidP="00766C1D">
      <w:pPr>
        <w:spacing w:line="480" w:lineRule="auto"/>
        <w:jc w:val="both"/>
        <w:rPr>
          <w:rFonts w:ascii="Arial" w:hAnsi="Arial" w:cs="Arial"/>
          <w:sz w:val="24"/>
          <w:szCs w:val="24"/>
          <w:lang w:val="fr-FR"/>
        </w:rPr>
      </w:pPr>
      <w:r>
        <w:rPr>
          <w:rFonts w:ascii="Arial" w:hAnsi="Arial" w:cs="Arial"/>
          <w:sz w:val="24"/>
          <w:szCs w:val="24"/>
          <w:lang w:val="fr"/>
        </w:rPr>
        <w:t xml:space="preserve">La gamme WG20 est la toute première à être développée entièrement en interne chez WEG. Le guide parcourt les avantages techniques spécifiques de la gamme WG20, notamment les taux de rendement énergétique des moteurs, leur puissance nominale et les options de maintenance conditionnelle. Il couvre également des facteurs importants tels que la certification mondiale des moteurs et la conformité aux normes.  </w:t>
      </w:r>
    </w:p>
    <w:p w14:paraId="79DC2486" w14:textId="77777777" w:rsidR="00766C1D" w:rsidRPr="002C7D7A" w:rsidRDefault="00766C1D" w:rsidP="00766C1D">
      <w:pPr>
        <w:spacing w:line="480" w:lineRule="auto"/>
        <w:jc w:val="both"/>
        <w:rPr>
          <w:rFonts w:ascii="Arial" w:hAnsi="Arial" w:cs="Arial"/>
          <w:sz w:val="24"/>
          <w:szCs w:val="24"/>
          <w:lang w:val="fr-FR"/>
        </w:rPr>
      </w:pPr>
    </w:p>
    <w:p w14:paraId="6F57D2A5" w14:textId="47BC3DDD" w:rsidR="007404D7" w:rsidRPr="002C7D7A" w:rsidRDefault="00CC3BB4" w:rsidP="00A508DF">
      <w:pPr>
        <w:spacing w:line="480" w:lineRule="auto"/>
        <w:jc w:val="both"/>
        <w:rPr>
          <w:rFonts w:ascii="Arial" w:hAnsi="Arial" w:cs="Arial"/>
          <w:sz w:val="24"/>
          <w:szCs w:val="24"/>
          <w:lang w:val="fr-FR"/>
        </w:rPr>
      </w:pPr>
      <w:r>
        <w:rPr>
          <w:lang w:val="fr"/>
        </w:rPr>
        <w:t xml:space="preserve">Le guide </w:t>
      </w:r>
      <w:hyperlink r:id="rId12" w:history="1">
        <w:r>
          <w:rPr>
            <w:rStyle w:val="Hyperlink"/>
            <w:rFonts w:ascii="Arial" w:hAnsi="Arial" w:cs="Arial"/>
            <w:i/>
            <w:iCs/>
            <w:sz w:val="24"/>
            <w:szCs w:val="24"/>
            <w:lang w:val="fr"/>
          </w:rPr>
          <w:t>20 bonnes raisons de choisir les moteurs WG20</w:t>
        </w:r>
      </w:hyperlink>
      <w:r>
        <w:rPr>
          <w:rFonts w:ascii="Arial" w:hAnsi="Arial" w:cs="Arial"/>
          <w:sz w:val="24"/>
          <w:szCs w:val="24"/>
          <w:lang w:val="fr"/>
        </w:rPr>
        <w:t xml:space="preserve"> s'inscrit dans une série de quatre livres blancs accompagnant le lancement de la gamme WG20 de WEG. En plus des caractéristiques techniques de la gamme WG20 range, ces publications expliquent tout ce que vous devez savoir sur les moteurs et boîtes à engrenages, que vous soyez ingénieur mécanicien, opérateur, spécialiste de la maintenance ou acheteur. </w:t>
      </w:r>
    </w:p>
    <w:p w14:paraId="140BDCC7" w14:textId="77777777" w:rsidR="00766C1D" w:rsidRPr="002C7D7A" w:rsidRDefault="00766C1D" w:rsidP="00A508DF">
      <w:pPr>
        <w:spacing w:line="480" w:lineRule="auto"/>
        <w:jc w:val="both"/>
        <w:rPr>
          <w:rFonts w:ascii="Arial" w:hAnsi="Arial" w:cs="Arial"/>
          <w:bCs/>
          <w:sz w:val="24"/>
          <w:szCs w:val="24"/>
          <w:lang w:val="fr-FR"/>
        </w:rPr>
      </w:pPr>
    </w:p>
    <w:p w14:paraId="0DA72500" w14:textId="28B20A7B" w:rsidR="009A4BF3" w:rsidRPr="002C7D7A" w:rsidRDefault="009A4BF3" w:rsidP="00A508DF">
      <w:pPr>
        <w:spacing w:line="480" w:lineRule="auto"/>
        <w:jc w:val="both"/>
        <w:rPr>
          <w:rFonts w:ascii="Arial" w:hAnsi="Arial" w:cs="Arial"/>
          <w:sz w:val="24"/>
          <w:szCs w:val="24"/>
          <w:lang w:val="fr-FR"/>
        </w:rPr>
      </w:pPr>
      <w:r>
        <w:rPr>
          <w:rFonts w:ascii="Arial" w:hAnsi="Arial" w:cs="Arial"/>
          <w:sz w:val="24"/>
          <w:szCs w:val="24"/>
          <w:lang w:val="fr"/>
        </w:rPr>
        <w:t xml:space="preserve">« Les moteurs à engrenages s'utilisent dans un large éventail d'applications, de machines et de systèmes », explique Marek Lukaszczyk, directeur du marketing Europe et Moyen-Orient de WEG. « Mais plus les applications sont variées, plus les exigences se portent sur l'entraînement. WEG a développé sa gamme WG20 de moteurs à engrenages pour répondre aux exigences complexes de l'industrie. » </w:t>
      </w:r>
    </w:p>
    <w:p w14:paraId="0C6D9BE4" w14:textId="77777777" w:rsidR="009A4BF3" w:rsidRPr="002C7D7A" w:rsidRDefault="009A4BF3" w:rsidP="00A508DF">
      <w:pPr>
        <w:spacing w:line="480" w:lineRule="auto"/>
        <w:jc w:val="both"/>
        <w:rPr>
          <w:rFonts w:ascii="Arial" w:hAnsi="Arial" w:cs="Arial"/>
          <w:sz w:val="24"/>
          <w:szCs w:val="24"/>
          <w:lang w:val="fr-FR"/>
        </w:rPr>
      </w:pPr>
    </w:p>
    <w:p w14:paraId="27E4053E" w14:textId="21EE2586" w:rsidR="009E55EF" w:rsidRPr="002C7D7A" w:rsidRDefault="00E60693" w:rsidP="00A508DF">
      <w:pPr>
        <w:spacing w:line="480" w:lineRule="auto"/>
        <w:jc w:val="both"/>
        <w:rPr>
          <w:rFonts w:ascii="Arial" w:hAnsi="Arial" w:cs="Arial"/>
          <w:sz w:val="24"/>
          <w:szCs w:val="24"/>
          <w:lang w:val="fr-FR"/>
        </w:rPr>
      </w:pPr>
      <w:r>
        <w:rPr>
          <w:rFonts w:ascii="Arial" w:hAnsi="Arial" w:cs="Arial"/>
          <w:sz w:val="24"/>
          <w:szCs w:val="24"/>
          <w:lang w:val="fr"/>
        </w:rPr>
        <w:t xml:space="preserve">« Ce guide peut être téléchargé gratuitement. Il explore en détail les moteurs WG20 et a été publié pour aider les acheteurs à prendre des décisions informées. Il inclut des informations importantes sur les coûts opérationnels, la maintenance </w:t>
      </w:r>
      <w:r>
        <w:rPr>
          <w:rFonts w:ascii="Arial" w:hAnsi="Arial" w:cs="Arial"/>
          <w:sz w:val="24"/>
          <w:szCs w:val="24"/>
          <w:lang w:val="fr"/>
        </w:rPr>
        <w:lastRenderedPageBreak/>
        <w:t xml:space="preserve">conditionnelle et la manière dont les moteurs WG20 peuvent être utilisés à différentes tensions dans le monde, répondant ainsi aux nombreuses exigences des marchés internationaux. » </w:t>
      </w:r>
    </w:p>
    <w:p w14:paraId="097CF0DD" w14:textId="66ABCC68" w:rsidR="00B56D3B" w:rsidRPr="002C7D7A" w:rsidRDefault="00B56D3B" w:rsidP="00B56D3B">
      <w:pPr>
        <w:spacing w:line="480" w:lineRule="auto"/>
        <w:jc w:val="both"/>
        <w:rPr>
          <w:rFonts w:ascii="Arial" w:hAnsi="Arial" w:cs="Arial"/>
          <w:bCs/>
          <w:sz w:val="24"/>
          <w:szCs w:val="24"/>
          <w:lang w:val="fr-FR"/>
        </w:rPr>
      </w:pPr>
    </w:p>
    <w:p w14:paraId="236FACEB" w14:textId="69E99725" w:rsidR="00B26980" w:rsidRPr="002C7D7A" w:rsidRDefault="00B26980" w:rsidP="00B26980">
      <w:pPr>
        <w:spacing w:line="480" w:lineRule="auto"/>
        <w:jc w:val="both"/>
        <w:rPr>
          <w:rFonts w:ascii="Arial" w:eastAsia="Times New Roman" w:hAnsi="Arial" w:cs="Arial"/>
          <w:sz w:val="24"/>
          <w:szCs w:val="24"/>
          <w:lang w:val="fr-FR"/>
        </w:rPr>
      </w:pPr>
      <w:r>
        <w:rPr>
          <w:rFonts w:ascii="Arial" w:eastAsia="Times New Roman" w:hAnsi="Arial" w:cs="Arial"/>
          <w:sz w:val="24"/>
          <w:szCs w:val="24"/>
          <w:lang w:val="fr"/>
        </w:rPr>
        <w:t xml:space="preserve">Pour de plus amples informations sur la gamme WG20 de WEG, rendez-vous sur le </w:t>
      </w:r>
      <w:hyperlink r:id="rId13" w:history="1">
        <w:r>
          <w:rPr>
            <w:rStyle w:val="Hyperlink"/>
            <w:rFonts w:ascii="Arial" w:eastAsia="Times New Roman" w:hAnsi="Arial" w:cs="Arial"/>
            <w:sz w:val="24"/>
            <w:szCs w:val="24"/>
            <w:lang w:val="fr"/>
          </w:rPr>
          <w:t>site Internet de la société</w:t>
        </w:r>
      </w:hyperlink>
      <w:r>
        <w:rPr>
          <w:rFonts w:ascii="Arial" w:eastAsia="Times New Roman" w:hAnsi="Arial" w:cs="Arial"/>
          <w:sz w:val="24"/>
          <w:szCs w:val="24"/>
          <w:lang w:val="fr"/>
        </w:rPr>
        <w:t>. Le guide</w:t>
      </w:r>
      <w:r>
        <w:rPr>
          <w:rFonts w:ascii="Arial" w:eastAsia="Times New Roman" w:hAnsi="Arial" w:cs="Arial"/>
          <w:i/>
          <w:iCs/>
          <w:sz w:val="24"/>
          <w:szCs w:val="24"/>
          <w:lang w:val="fr"/>
        </w:rPr>
        <w:t xml:space="preserve"> </w:t>
      </w:r>
      <w:hyperlink r:id="rId14" w:history="1">
        <w:r>
          <w:rPr>
            <w:rStyle w:val="Hyperlink"/>
            <w:rFonts w:ascii="Arial" w:hAnsi="Arial" w:cs="Arial"/>
            <w:i/>
            <w:iCs/>
            <w:sz w:val="24"/>
            <w:szCs w:val="24"/>
            <w:lang w:val="fr"/>
          </w:rPr>
          <w:t>20 bonnes raisons de choisir les moteurs WG20</w:t>
        </w:r>
      </w:hyperlink>
      <w:r>
        <w:rPr>
          <w:rFonts w:ascii="Arial" w:eastAsia="Times New Roman" w:hAnsi="Arial" w:cs="Arial"/>
          <w:sz w:val="24"/>
          <w:szCs w:val="24"/>
          <w:lang w:val="fr"/>
        </w:rPr>
        <w:t xml:space="preserve"> peut être également obtenu sur demande, en cliquant sur ce </w:t>
      </w:r>
      <w:hyperlink r:id="rId15" w:history="1">
        <w:r>
          <w:rPr>
            <w:rStyle w:val="Hyperlink"/>
            <w:rFonts w:ascii="Arial" w:hAnsi="Arial" w:cs="Arial"/>
            <w:sz w:val="24"/>
            <w:szCs w:val="24"/>
            <w:lang w:val="fr"/>
          </w:rPr>
          <w:t>lien</w:t>
        </w:r>
      </w:hyperlink>
      <w:r>
        <w:rPr>
          <w:rFonts w:ascii="Arial" w:eastAsia="Times New Roman" w:hAnsi="Arial" w:cs="Arial"/>
          <w:sz w:val="24"/>
          <w:szCs w:val="24"/>
          <w:lang w:val="fr"/>
        </w:rPr>
        <w:t xml:space="preserve">. </w:t>
      </w:r>
    </w:p>
    <w:p w14:paraId="448E0935" w14:textId="77777777" w:rsidR="006F3344" w:rsidRPr="002C7D7A" w:rsidRDefault="006F3344" w:rsidP="00B26980">
      <w:pPr>
        <w:rPr>
          <w:rFonts w:ascii="Arial" w:eastAsia="MS Mincho" w:hAnsi="Arial" w:cs="Arial"/>
          <w:b/>
          <w:color w:val="4472C4"/>
          <w:sz w:val="24"/>
          <w:szCs w:val="24"/>
          <w:lang w:val="fr-FR"/>
        </w:rPr>
      </w:pPr>
    </w:p>
    <w:p w14:paraId="323A7626" w14:textId="10167A5B" w:rsidR="00B26980" w:rsidRPr="002C7D7A" w:rsidRDefault="00B26980" w:rsidP="004D1E76">
      <w:pPr>
        <w:spacing w:line="240" w:lineRule="auto"/>
        <w:rPr>
          <w:rFonts w:ascii="Arial" w:eastAsia="MS Mincho" w:hAnsi="Arial" w:cs="Arial"/>
          <w:sz w:val="24"/>
          <w:szCs w:val="24"/>
          <w:lang w:val="fr-FR"/>
        </w:rPr>
      </w:pPr>
      <w:r>
        <w:rPr>
          <w:rFonts w:ascii="Arial" w:eastAsia="MS Mincho" w:hAnsi="Arial" w:cs="Arial"/>
          <w:b/>
          <w:bCs/>
          <w:color w:val="4472C4"/>
          <w:sz w:val="24"/>
          <w:szCs w:val="24"/>
          <w:lang w:val="fr"/>
        </w:rPr>
        <w:t>Fin :</w:t>
      </w:r>
      <w:r w:rsidR="001E1FDA">
        <w:rPr>
          <w:rFonts w:ascii="Arial" w:eastAsia="MS Mincho" w:hAnsi="Arial" w:cs="Arial"/>
          <w:sz w:val="24"/>
          <w:szCs w:val="24"/>
          <w:lang w:val="fr"/>
        </w:rPr>
        <w:t xml:space="preserve"> 689 mots</w:t>
      </w:r>
    </w:p>
    <w:p w14:paraId="07D36C1F" w14:textId="77777777" w:rsidR="00B26980" w:rsidRPr="002C7D7A" w:rsidRDefault="00B26980" w:rsidP="004D1E76">
      <w:pPr>
        <w:spacing w:line="240" w:lineRule="auto"/>
        <w:rPr>
          <w:rFonts w:ascii="Arial" w:eastAsia="MS Mincho" w:hAnsi="Arial" w:cs="Arial"/>
          <w:b/>
          <w:bCs/>
          <w:color w:val="4472C4"/>
          <w:sz w:val="24"/>
          <w:szCs w:val="24"/>
          <w:lang w:val="fr-FR"/>
        </w:rPr>
      </w:pPr>
    </w:p>
    <w:p w14:paraId="54E78C58" w14:textId="77777777" w:rsidR="00B26980" w:rsidRPr="002C7D7A" w:rsidRDefault="00B26980" w:rsidP="004D1E76">
      <w:pPr>
        <w:spacing w:line="240" w:lineRule="auto"/>
        <w:rPr>
          <w:rFonts w:ascii="Arial" w:eastAsia="Times New Roman" w:hAnsi="Arial" w:cs="Arial"/>
          <w:sz w:val="24"/>
          <w:szCs w:val="24"/>
          <w:lang w:val="fr-FR"/>
        </w:rPr>
      </w:pPr>
      <w:r>
        <w:rPr>
          <w:rFonts w:ascii="Arial" w:hAnsi="Arial" w:cs="Arial"/>
          <w:b/>
          <w:bCs/>
          <w:color w:val="4472C4"/>
          <w:sz w:val="24"/>
          <w:szCs w:val="24"/>
          <w:lang w:val="fr"/>
        </w:rPr>
        <w:t>Remarques à l'intention des éditeurs :</w:t>
      </w:r>
      <w:r>
        <w:rPr>
          <w:rFonts w:ascii="Arial" w:hAnsi="Arial" w:cs="Arial"/>
          <w:b/>
          <w:bCs/>
          <w:color w:val="439639"/>
          <w:sz w:val="24"/>
          <w:szCs w:val="24"/>
          <w:lang w:val="fr"/>
        </w:rPr>
        <w:t xml:space="preserve"> </w:t>
      </w:r>
      <w:r>
        <w:rPr>
          <w:rFonts w:ascii="Arial" w:hAnsi="Arial" w:cs="Arial"/>
          <w:sz w:val="24"/>
          <w:szCs w:val="24"/>
          <w:lang w:val="fr"/>
        </w:rPr>
        <w:t xml:space="preserve">Pour rester au courant des documents destinés à la presse, des contenus d'opinion et des études de cas de WEG, rendez-vous sur </w:t>
      </w:r>
      <w:hyperlink r:id="rId16" w:history="1">
        <w:r>
          <w:rPr>
            <w:rStyle w:val="Hyperlink"/>
            <w:rFonts w:ascii="Arial" w:hAnsi="Arial" w:cs="Arial"/>
            <w:sz w:val="24"/>
            <w:szCs w:val="24"/>
            <w:lang w:val="fr"/>
          </w:rPr>
          <w:t>https://www.weg.net/institutional/MR/en/all-news/all</w:t>
        </w:r>
      </w:hyperlink>
    </w:p>
    <w:p w14:paraId="51FFF6D1" w14:textId="77777777" w:rsidR="00B26980" w:rsidRPr="002C7D7A" w:rsidRDefault="00B26980" w:rsidP="004D1E76">
      <w:pPr>
        <w:spacing w:line="240" w:lineRule="auto"/>
        <w:rPr>
          <w:rFonts w:ascii="Arial" w:eastAsia="MS Mincho" w:hAnsi="Arial" w:cs="Arial"/>
          <w:b/>
          <w:bCs/>
          <w:color w:val="00529C"/>
          <w:sz w:val="24"/>
          <w:szCs w:val="24"/>
          <w:lang w:val="fr-FR"/>
        </w:rPr>
      </w:pPr>
    </w:p>
    <w:p w14:paraId="71B42E87" w14:textId="794824FC" w:rsidR="00B26980" w:rsidRPr="002C7D7A" w:rsidRDefault="00B26980" w:rsidP="004D1E76">
      <w:pPr>
        <w:spacing w:line="240" w:lineRule="auto"/>
        <w:rPr>
          <w:rFonts w:ascii="Arial" w:eastAsia="Times New Roman" w:hAnsi="Arial" w:cs="Arial"/>
          <w:color w:val="E6950B"/>
          <w:sz w:val="24"/>
          <w:szCs w:val="24"/>
          <w:shd w:val="clear" w:color="auto" w:fill="FFFFFF"/>
          <w:lang w:val="fr-FR"/>
        </w:rPr>
      </w:pPr>
      <w:r>
        <w:rPr>
          <w:rFonts w:ascii="Arial" w:hAnsi="Arial" w:cs="Arial"/>
          <w:b/>
          <w:bCs/>
          <w:color w:val="4472C4"/>
          <w:sz w:val="24"/>
          <w:szCs w:val="24"/>
          <w:lang w:val="fr"/>
        </w:rPr>
        <w:t>Pour de plus amples informations, veuillez contacter :</w:t>
      </w:r>
      <w:r>
        <w:rPr>
          <w:rFonts w:ascii="Arial" w:hAnsi="Arial" w:cs="Arial"/>
          <w:b/>
          <w:bCs/>
          <w:color w:val="439639"/>
          <w:sz w:val="24"/>
          <w:szCs w:val="24"/>
          <w:lang w:val="fr"/>
        </w:rPr>
        <w:t xml:space="preserve"> </w:t>
      </w:r>
      <w:r>
        <w:rPr>
          <w:rFonts w:ascii="Arial" w:hAnsi="Arial" w:cs="Arial"/>
          <w:color w:val="000000"/>
          <w:sz w:val="24"/>
          <w:szCs w:val="24"/>
          <w:lang w:val="fr"/>
        </w:rPr>
        <w:t>Marek Lukaszczyk</w:t>
      </w:r>
      <w:r>
        <w:rPr>
          <w:rFonts w:ascii="Arial" w:hAnsi="Arial" w:cs="Arial"/>
          <w:color w:val="000000"/>
          <w:sz w:val="24"/>
          <w:szCs w:val="24"/>
          <w:lang w:val="fr"/>
        </w:rPr>
        <w:br/>
        <w:t>Broad Ground Road, Lakeside, Redditch, Worcestershire B98 8YP, Royaume-Uni</w:t>
      </w:r>
      <w:r>
        <w:rPr>
          <w:rFonts w:ascii="Arial" w:hAnsi="Arial" w:cs="Arial"/>
          <w:color w:val="E6950B"/>
          <w:sz w:val="24"/>
          <w:szCs w:val="24"/>
          <w:shd w:val="clear" w:color="auto" w:fill="FFFFFF"/>
          <w:lang w:val="fr"/>
        </w:rPr>
        <w:br/>
      </w:r>
      <w:r>
        <w:rPr>
          <w:rFonts w:ascii="Arial" w:hAnsi="Arial" w:cs="Arial"/>
          <w:b/>
          <w:bCs/>
          <w:color w:val="4472C4"/>
          <w:sz w:val="24"/>
          <w:szCs w:val="24"/>
          <w:lang w:val="fr"/>
        </w:rPr>
        <w:t>www :</w:t>
      </w:r>
      <w:r>
        <w:rPr>
          <w:rFonts w:ascii="Arial" w:hAnsi="Arial" w:cs="Arial"/>
          <w:color w:val="FF9933"/>
          <w:sz w:val="24"/>
          <w:szCs w:val="24"/>
          <w:lang w:val="fr"/>
        </w:rPr>
        <w:t xml:space="preserve"> </w:t>
      </w:r>
      <w:hyperlink r:id="rId17" w:history="1">
        <w:r>
          <w:rPr>
            <w:rStyle w:val="Hyperlink"/>
            <w:rFonts w:ascii="Arial" w:hAnsi="Arial" w:cs="Arial"/>
            <w:sz w:val="24"/>
            <w:szCs w:val="24"/>
            <w:lang w:val="fr"/>
          </w:rPr>
          <w:t>www.weg.net</w:t>
        </w:r>
      </w:hyperlink>
      <w:r>
        <w:rPr>
          <w:rFonts w:ascii="Arial" w:hAnsi="Arial" w:cs="Arial"/>
          <w:sz w:val="24"/>
          <w:szCs w:val="24"/>
          <w:lang w:val="fr"/>
        </w:rPr>
        <w:t xml:space="preserve"> </w:t>
      </w:r>
      <w:r>
        <w:rPr>
          <w:rFonts w:ascii="Arial" w:hAnsi="Arial" w:cs="Arial"/>
          <w:color w:val="E6950B"/>
          <w:sz w:val="24"/>
          <w:szCs w:val="24"/>
          <w:shd w:val="clear" w:color="auto" w:fill="FFFFFF"/>
          <w:lang w:val="fr"/>
        </w:rPr>
        <w:br/>
      </w:r>
      <w:r>
        <w:rPr>
          <w:rFonts w:ascii="Arial" w:hAnsi="Arial" w:cs="Arial"/>
          <w:b/>
          <w:bCs/>
          <w:color w:val="4472C4"/>
          <w:sz w:val="24"/>
          <w:szCs w:val="24"/>
          <w:lang w:val="fr"/>
        </w:rPr>
        <w:t>e-mail :</w:t>
      </w:r>
      <w:r>
        <w:rPr>
          <w:rFonts w:ascii="Arial" w:hAnsi="Arial" w:cs="Arial"/>
          <w:color w:val="00B4EC"/>
          <w:sz w:val="24"/>
          <w:szCs w:val="24"/>
          <w:lang w:val="fr"/>
        </w:rPr>
        <w:t xml:space="preserve"> </w:t>
      </w:r>
      <w:hyperlink r:id="rId18" w:history="1">
        <w:r>
          <w:rPr>
            <w:rStyle w:val="Hyperlink"/>
            <w:rFonts w:ascii="Arial" w:hAnsi="Arial" w:cs="Arial"/>
            <w:sz w:val="24"/>
            <w:szCs w:val="24"/>
            <w:shd w:val="clear" w:color="auto" w:fill="FFFFFF"/>
            <w:lang w:val="fr"/>
          </w:rPr>
          <w:t>info-uk@weg.net</w:t>
        </w:r>
      </w:hyperlink>
    </w:p>
    <w:p w14:paraId="2869ED47" w14:textId="77777777" w:rsidR="00B26980" w:rsidRPr="002C7D7A" w:rsidRDefault="00B26980" w:rsidP="004D1E76">
      <w:pPr>
        <w:spacing w:line="240" w:lineRule="auto"/>
        <w:rPr>
          <w:rFonts w:ascii="Arial" w:eastAsia="MS Mincho" w:hAnsi="Arial" w:cs="Arial"/>
          <w:color w:val="0C7289"/>
          <w:sz w:val="24"/>
          <w:szCs w:val="24"/>
          <w:lang w:val="fr-FR"/>
        </w:rPr>
      </w:pPr>
    </w:p>
    <w:p w14:paraId="39E5B1E4" w14:textId="10AEA427" w:rsidR="00B26980" w:rsidRPr="004D1E76" w:rsidRDefault="00B26980" w:rsidP="004D1E76">
      <w:pPr>
        <w:spacing w:line="240" w:lineRule="auto"/>
        <w:rPr>
          <w:rFonts w:ascii="Arial" w:eastAsia="MS Mincho" w:hAnsi="Arial" w:cs="Arial"/>
          <w:spacing w:val="-3"/>
          <w:sz w:val="24"/>
          <w:szCs w:val="24"/>
        </w:rPr>
      </w:pPr>
      <w:r w:rsidRPr="002C7D7A">
        <w:rPr>
          <w:rFonts w:ascii="Arial" w:eastAsia="MS Mincho" w:hAnsi="Arial" w:cs="Arial"/>
          <w:b/>
          <w:bCs/>
          <w:color w:val="4472C4"/>
          <w:sz w:val="24"/>
          <w:szCs w:val="24"/>
        </w:rPr>
        <w:t>Infos presse :</w:t>
      </w:r>
      <w:r w:rsidRPr="002C7D7A">
        <w:rPr>
          <w:rFonts w:ascii="Arial" w:eastAsia="MS Mincho" w:hAnsi="Arial" w:cs="Arial"/>
          <w:b/>
          <w:bCs/>
          <w:color w:val="00B4EC"/>
          <w:sz w:val="24"/>
          <w:szCs w:val="24"/>
        </w:rPr>
        <w:t xml:space="preserve"> </w:t>
      </w:r>
      <w:r w:rsidRPr="002C7D7A">
        <w:rPr>
          <w:rFonts w:ascii="Arial" w:eastAsia="MS Mincho" w:hAnsi="Arial" w:cs="Arial"/>
          <w:sz w:val="24"/>
          <w:szCs w:val="24"/>
        </w:rPr>
        <w:t>Carla Mateus ou Laura England – Stone Junction Ltd</w:t>
      </w:r>
      <w:r w:rsidRPr="002C7D7A">
        <w:rPr>
          <w:rFonts w:ascii="Arial" w:eastAsia="MS Mincho" w:hAnsi="Arial" w:cs="Arial"/>
          <w:sz w:val="24"/>
          <w:szCs w:val="24"/>
        </w:rPr>
        <w:br/>
      </w:r>
      <w:r w:rsidRPr="002C7D7A">
        <w:rPr>
          <w:rFonts w:ascii="Arial" w:eastAsia="MS Mincho" w:hAnsi="Arial" w:cs="Arial"/>
          <w:noProof/>
          <w:sz w:val="24"/>
          <w:szCs w:val="24"/>
        </w:rPr>
        <w:t>1 St Mary's Gate, St Mary's Grove, Stafford, Staffordshire, ST16 2AW, Royaume-Uni</w:t>
      </w:r>
      <w:r w:rsidRPr="002C7D7A">
        <w:rPr>
          <w:rFonts w:ascii="Arial" w:eastAsia="MS Mincho" w:hAnsi="Arial" w:cs="Arial"/>
          <w:noProof/>
          <w:sz w:val="24"/>
          <w:szCs w:val="24"/>
        </w:rPr>
        <w:br/>
      </w:r>
      <w:r w:rsidRPr="002C7D7A">
        <w:rPr>
          <w:rFonts w:ascii="Arial" w:eastAsia="MS Mincho" w:hAnsi="Arial" w:cs="Arial"/>
          <w:b/>
          <w:bCs/>
          <w:color w:val="4472C4"/>
          <w:sz w:val="24"/>
          <w:szCs w:val="24"/>
        </w:rPr>
        <w:t>Téléphone :</w:t>
      </w:r>
      <w:r w:rsidRPr="002C7D7A">
        <w:rPr>
          <w:rFonts w:ascii="Arial" w:eastAsia="MS Mincho" w:hAnsi="Arial" w:cs="Arial"/>
          <w:color w:val="002060"/>
          <w:sz w:val="24"/>
          <w:szCs w:val="24"/>
        </w:rPr>
        <w:t xml:space="preserve"> </w:t>
      </w:r>
      <w:r w:rsidRPr="002C7D7A">
        <w:rPr>
          <w:rFonts w:ascii="Arial" w:eastAsia="MS Mincho" w:hAnsi="Arial" w:cs="Arial"/>
          <w:sz w:val="24"/>
          <w:szCs w:val="24"/>
        </w:rPr>
        <w:t>+44 (0) 1785 225416</w:t>
      </w:r>
      <w:r w:rsidRPr="002C7D7A">
        <w:rPr>
          <w:rFonts w:ascii="Arial" w:eastAsia="MS Mincho" w:hAnsi="Arial" w:cs="Arial"/>
          <w:sz w:val="24"/>
          <w:szCs w:val="24"/>
        </w:rPr>
        <w:br/>
      </w:r>
      <w:r w:rsidRPr="002C7D7A">
        <w:rPr>
          <w:rFonts w:ascii="Arial" w:eastAsia="MS Mincho" w:hAnsi="Arial" w:cs="Arial"/>
          <w:b/>
          <w:bCs/>
          <w:color w:val="4472C4"/>
          <w:sz w:val="24"/>
          <w:szCs w:val="24"/>
        </w:rPr>
        <w:t>E-mail :</w:t>
      </w:r>
      <w:r w:rsidRPr="002C7D7A">
        <w:rPr>
          <w:rFonts w:ascii="Arial" w:eastAsia="MS Mincho" w:hAnsi="Arial" w:cs="Arial"/>
          <w:color w:val="00B050"/>
          <w:sz w:val="24"/>
          <w:szCs w:val="24"/>
        </w:rPr>
        <w:t xml:space="preserve"> </w:t>
      </w:r>
      <w:hyperlink r:id="rId19" w:history="1">
        <w:r w:rsidRPr="002C7D7A">
          <w:rPr>
            <w:rStyle w:val="Hyperlink"/>
            <w:rFonts w:ascii="Arial" w:eastAsia="MS Mincho" w:hAnsi="Arial" w:cs="Arial"/>
            <w:sz w:val="24"/>
            <w:szCs w:val="24"/>
          </w:rPr>
          <w:t>carla@stonejunction.co.uk</w:t>
        </w:r>
      </w:hyperlink>
      <w:r w:rsidRPr="002C7D7A">
        <w:rPr>
          <w:rFonts w:ascii="Arial" w:eastAsia="MS Mincho" w:hAnsi="Arial" w:cs="Arial"/>
          <w:sz w:val="24"/>
          <w:szCs w:val="24"/>
        </w:rPr>
        <w:t xml:space="preserve"> ou </w:t>
      </w:r>
      <w:hyperlink r:id="rId20" w:history="1">
        <w:r w:rsidRPr="002C7D7A">
          <w:rPr>
            <w:rStyle w:val="Hyperlink"/>
            <w:rFonts w:ascii="Arial" w:eastAsia="MS Mincho" w:hAnsi="Arial" w:cs="Arial"/>
            <w:sz w:val="24"/>
            <w:szCs w:val="24"/>
          </w:rPr>
          <w:t>laura@stonejunction.co.uk</w:t>
        </w:r>
      </w:hyperlink>
      <w:r w:rsidRPr="002C7D7A">
        <w:rPr>
          <w:rFonts w:ascii="Arial" w:eastAsia="MS Mincho" w:hAnsi="Arial" w:cs="Arial"/>
          <w:sz w:val="24"/>
          <w:szCs w:val="24"/>
        </w:rPr>
        <w:t xml:space="preserve"> </w:t>
      </w:r>
      <w:r w:rsidRPr="002C7D7A">
        <w:rPr>
          <w:rFonts w:ascii="Arial" w:eastAsia="MS Mincho" w:hAnsi="Arial" w:cs="Arial"/>
          <w:sz w:val="24"/>
          <w:szCs w:val="24"/>
        </w:rPr>
        <w:br/>
      </w:r>
      <w:r w:rsidRPr="002C7D7A">
        <w:rPr>
          <w:rFonts w:ascii="Arial" w:eastAsia="MS Mincho" w:hAnsi="Arial" w:cs="Arial"/>
          <w:b/>
          <w:bCs/>
          <w:color w:val="4472C4"/>
          <w:sz w:val="24"/>
          <w:szCs w:val="24"/>
        </w:rPr>
        <w:t>www :</w:t>
      </w:r>
      <w:r w:rsidRPr="002C7D7A">
        <w:rPr>
          <w:rFonts w:ascii="Arial" w:eastAsia="MS Mincho" w:hAnsi="Arial" w:cs="Arial"/>
          <w:color w:val="00B050"/>
          <w:sz w:val="24"/>
          <w:szCs w:val="24"/>
        </w:rPr>
        <w:t xml:space="preserve"> </w:t>
      </w:r>
      <w:hyperlink r:id="rId21" w:history="1">
        <w:r w:rsidRPr="002C7D7A">
          <w:rPr>
            <w:rStyle w:val="Hyperlink"/>
            <w:rFonts w:ascii="Arial" w:eastAsia="MS Mincho" w:hAnsi="Arial" w:cs="Arial"/>
            <w:sz w:val="24"/>
            <w:szCs w:val="24"/>
          </w:rPr>
          <w:t>www.stonejunction.co.uk</w:t>
        </w:r>
      </w:hyperlink>
      <w:r w:rsidRPr="002C7D7A">
        <w:rPr>
          <w:rFonts w:ascii="Arial" w:eastAsia="MS Mincho" w:hAnsi="Arial" w:cs="Arial"/>
          <w:sz w:val="24"/>
          <w:szCs w:val="24"/>
        </w:rPr>
        <w:t xml:space="preserve">  </w:t>
      </w:r>
      <w:r w:rsidRPr="002C7D7A">
        <w:rPr>
          <w:rFonts w:ascii="Arial" w:eastAsia="MS Mincho" w:hAnsi="Arial" w:cs="Arial"/>
          <w:sz w:val="24"/>
          <w:szCs w:val="24"/>
        </w:rPr>
        <w:br/>
      </w:r>
      <w:r w:rsidRPr="002C7D7A">
        <w:rPr>
          <w:rFonts w:ascii="Arial" w:eastAsia="MS Mincho" w:hAnsi="Arial" w:cs="Arial"/>
          <w:b/>
          <w:bCs/>
          <w:color w:val="4472C4"/>
          <w:sz w:val="24"/>
          <w:szCs w:val="24"/>
        </w:rPr>
        <w:t>Blog :</w:t>
      </w:r>
      <w:r w:rsidRPr="002C7D7A">
        <w:rPr>
          <w:rFonts w:ascii="Arial" w:eastAsia="MS Mincho" w:hAnsi="Arial" w:cs="Arial"/>
          <w:b/>
          <w:bCs/>
          <w:color w:val="FF9933"/>
          <w:sz w:val="24"/>
          <w:szCs w:val="24"/>
        </w:rPr>
        <w:t xml:space="preserve"> </w:t>
      </w:r>
      <w:hyperlink r:id="rId22" w:history="1">
        <w:r w:rsidRPr="002C7D7A">
          <w:rPr>
            <w:rStyle w:val="Hyperlink"/>
            <w:rFonts w:ascii="Arial" w:eastAsia="MS Mincho" w:hAnsi="Arial" w:cs="Arial"/>
            <w:sz w:val="24"/>
            <w:szCs w:val="24"/>
          </w:rPr>
          <w:t>www.stone-junction.blogspot.com</w:t>
        </w:r>
      </w:hyperlink>
      <w:r w:rsidRPr="002C7D7A">
        <w:rPr>
          <w:rFonts w:ascii="Arial" w:eastAsia="MS Mincho" w:hAnsi="Arial" w:cs="Arial"/>
          <w:b/>
          <w:bCs/>
          <w:color w:val="CC0000"/>
          <w:sz w:val="24"/>
          <w:szCs w:val="24"/>
        </w:rPr>
        <w:t xml:space="preserve"> </w:t>
      </w:r>
      <w:r w:rsidRPr="002C7D7A">
        <w:rPr>
          <w:rFonts w:ascii="Arial" w:eastAsia="MS Mincho" w:hAnsi="Arial" w:cs="Arial"/>
          <w:sz w:val="24"/>
          <w:szCs w:val="24"/>
        </w:rPr>
        <w:br/>
      </w:r>
      <w:r w:rsidRPr="002C7D7A">
        <w:rPr>
          <w:rFonts w:ascii="Arial" w:eastAsia="MS Mincho" w:hAnsi="Arial" w:cs="Arial"/>
          <w:b/>
          <w:bCs/>
          <w:color w:val="4472C4"/>
          <w:sz w:val="24"/>
          <w:szCs w:val="24"/>
        </w:rPr>
        <w:t>Twitter :</w:t>
      </w:r>
      <w:r w:rsidRPr="002C7D7A">
        <w:rPr>
          <w:rFonts w:ascii="Arial" w:eastAsia="MS Mincho" w:hAnsi="Arial" w:cs="Arial"/>
          <w:b/>
          <w:bCs/>
          <w:color w:val="00529C"/>
          <w:sz w:val="24"/>
          <w:szCs w:val="24"/>
        </w:rPr>
        <w:t xml:space="preserve"> </w:t>
      </w:r>
      <w:hyperlink r:id="rId23" w:history="1">
        <w:r w:rsidRPr="002C7D7A">
          <w:rPr>
            <w:rStyle w:val="Hyperlink"/>
            <w:rFonts w:ascii="Arial" w:eastAsia="MS Mincho" w:hAnsi="Arial" w:cs="Arial"/>
            <w:sz w:val="24"/>
            <w:szCs w:val="24"/>
          </w:rPr>
          <w:t>www.twitter.com/StoneJunctionPR</w:t>
        </w:r>
      </w:hyperlink>
      <w:r w:rsidRPr="002C7D7A">
        <w:rPr>
          <w:rFonts w:ascii="Arial" w:eastAsia="MS Mincho" w:hAnsi="Arial" w:cs="Arial"/>
          <w:sz w:val="24"/>
          <w:szCs w:val="24"/>
        </w:rPr>
        <w:br/>
      </w:r>
      <w:r w:rsidRPr="002C7D7A">
        <w:rPr>
          <w:rFonts w:ascii="Arial" w:eastAsia="MS Mincho" w:hAnsi="Arial" w:cs="Arial"/>
          <w:b/>
          <w:bCs/>
          <w:color w:val="4472C4"/>
          <w:sz w:val="24"/>
          <w:szCs w:val="24"/>
        </w:rPr>
        <w:t>Facebook :</w:t>
      </w:r>
      <w:r w:rsidRPr="002C7D7A">
        <w:rPr>
          <w:rFonts w:ascii="Arial" w:eastAsia="MS Mincho" w:hAnsi="Arial" w:cs="Arial"/>
          <w:b/>
          <w:bCs/>
          <w:color w:val="00B050"/>
          <w:sz w:val="24"/>
          <w:szCs w:val="24"/>
        </w:rPr>
        <w:t xml:space="preserve"> </w:t>
      </w:r>
      <w:hyperlink r:id="rId24" w:history="1">
        <w:r w:rsidRPr="002C7D7A">
          <w:rPr>
            <w:rStyle w:val="Hyperlink"/>
            <w:rFonts w:ascii="Arial" w:eastAsia="MS Mincho" w:hAnsi="Arial" w:cs="Arial"/>
            <w:sz w:val="24"/>
            <w:szCs w:val="24"/>
          </w:rPr>
          <w:t>http://www.facebook.com/technicalPR</w:t>
        </w:r>
      </w:hyperlink>
      <w:r w:rsidRPr="002C7D7A">
        <w:rPr>
          <w:rFonts w:ascii="Arial" w:eastAsia="MS Mincho" w:hAnsi="Arial" w:cs="Arial"/>
          <w:sz w:val="24"/>
          <w:szCs w:val="24"/>
        </w:rPr>
        <w:br/>
      </w:r>
      <w:r w:rsidRPr="002C7D7A">
        <w:rPr>
          <w:rFonts w:ascii="Arial" w:eastAsia="MS Mincho" w:hAnsi="Arial" w:cs="Arial"/>
          <w:b/>
          <w:bCs/>
          <w:color w:val="4472C4"/>
          <w:sz w:val="24"/>
          <w:szCs w:val="24"/>
        </w:rPr>
        <w:t>LinkedIn :</w:t>
      </w:r>
      <w:r w:rsidRPr="002C7D7A">
        <w:rPr>
          <w:rFonts w:ascii="Arial" w:eastAsia="MS Mincho" w:hAnsi="Arial" w:cs="Arial"/>
          <w:noProof/>
          <w:color w:val="4472C4"/>
          <w:sz w:val="24"/>
          <w:szCs w:val="24"/>
        </w:rPr>
        <w:t xml:space="preserve"> </w:t>
      </w:r>
      <w:hyperlink r:id="rId25" w:history="1">
        <w:r w:rsidRPr="002C7D7A">
          <w:rPr>
            <w:rStyle w:val="Hyperlink"/>
            <w:rFonts w:ascii="Arial" w:eastAsia="MS Mincho" w:hAnsi="Arial" w:cs="Arial"/>
            <w:sz w:val="24"/>
            <w:szCs w:val="24"/>
          </w:rPr>
          <w:t>https://www.linkedin.com/company/stone-junction-ltd</w:t>
        </w:r>
      </w:hyperlink>
    </w:p>
    <w:p w14:paraId="3BE63B30" w14:textId="77777777" w:rsidR="00B26980" w:rsidRPr="002C7D7A" w:rsidRDefault="00B26980" w:rsidP="004D1E76">
      <w:pPr>
        <w:spacing w:before="100" w:beforeAutospacing="1" w:after="100" w:afterAutospacing="1" w:line="240" w:lineRule="auto"/>
        <w:jc w:val="both"/>
        <w:rPr>
          <w:rFonts w:ascii="Arial" w:eastAsia="Times New Roman" w:hAnsi="Arial" w:cs="Arial"/>
          <w:sz w:val="24"/>
          <w:szCs w:val="24"/>
          <w:lang w:val="fr-FR"/>
        </w:rPr>
      </w:pPr>
      <w:r>
        <w:rPr>
          <w:rFonts w:ascii="Arial" w:hAnsi="Arial" w:cs="Arial"/>
          <w:b/>
          <w:bCs/>
          <w:color w:val="4472C4"/>
          <w:sz w:val="24"/>
          <w:szCs w:val="24"/>
          <w:lang w:val="fr"/>
        </w:rPr>
        <w:t>À propos de WEG :</w:t>
      </w:r>
      <w:r>
        <w:rPr>
          <w:rFonts w:ascii="Arial" w:hAnsi="Arial" w:cs="Arial"/>
          <w:color w:val="2D2B2B"/>
          <w:sz w:val="24"/>
          <w:szCs w:val="24"/>
          <w:shd w:val="clear" w:color="auto" w:fill="FFFFFF"/>
          <w:lang w:val="fr"/>
        </w:rPr>
        <w:t xml:space="preserve"> </w:t>
      </w:r>
      <w:r>
        <w:rPr>
          <w:rFonts w:ascii="Arial" w:hAnsi="Arial" w:cs="Arial"/>
          <w:sz w:val="24"/>
          <w:szCs w:val="24"/>
          <w:lang w:val="fr"/>
        </w:rPr>
        <w:t xml:space="preserve">Fondée en 1961, WEG est une société internationale de fabrication d'équipements électriques et mécaniques, destinés aux secteurs industriels du monde entier. Elle compte des unités de fabrication dans 12 pays et une présence dans plus de 135 pays. Elle emploie plus de 31 000 collaborateurs dans le monde et a dégagé un chiffre d'affaires net de 13,3 milliards BRL en 2019. </w:t>
      </w:r>
    </w:p>
    <w:p w14:paraId="0A798598" w14:textId="77777777" w:rsidR="00B26980" w:rsidRPr="002C7D7A" w:rsidRDefault="00B26980" w:rsidP="004D1E76">
      <w:pPr>
        <w:spacing w:before="100" w:beforeAutospacing="1" w:after="100" w:afterAutospacing="1" w:line="240" w:lineRule="auto"/>
        <w:jc w:val="both"/>
        <w:rPr>
          <w:rFonts w:ascii="Arial" w:eastAsia="Times New Roman" w:hAnsi="Arial" w:cs="Arial"/>
          <w:sz w:val="24"/>
          <w:szCs w:val="24"/>
          <w:lang w:val="fr-FR"/>
        </w:rPr>
      </w:pPr>
      <w:r>
        <w:rPr>
          <w:rFonts w:ascii="Arial" w:eastAsia="Times New Roman" w:hAnsi="Arial" w:cs="Arial"/>
          <w:sz w:val="24"/>
          <w:szCs w:val="24"/>
          <w:lang w:val="fr"/>
        </w:rPr>
        <w:t xml:space="preserve">WEG fournit des solutions écoénergétiques à tous les secteurs, notamment l'eau, l'acier, la pulpe et le papier, le gaz et le pétrole, et l'industrie minière, entre autres, et </w:t>
      </w:r>
      <w:r>
        <w:rPr>
          <w:rFonts w:ascii="Arial" w:eastAsia="Times New Roman" w:hAnsi="Arial" w:cs="Arial"/>
          <w:sz w:val="24"/>
          <w:szCs w:val="24"/>
          <w:lang w:val="fr"/>
        </w:rPr>
        <w:lastRenderedPageBreak/>
        <w:t xml:space="preserve">développe constamment des solutions répondant aux besoins de rendement, renouvellement et durabilité énergétiques et de mobilité électrique.  Pour en savoir plus, rendez-vous sur le site </w:t>
      </w:r>
      <w:hyperlink r:id="rId26" w:history="1">
        <w:r>
          <w:rPr>
            <w:rStyle w:val="Hyperlink"/>
            <w:rFonts w:ascii="Arial" w:hAnsi="Arial" w:cs="Arial"/>
            <w:sz w:val="24"/>
            <w:szCs w:val="24"/>
            <w:lang w:val="fr"/>
          </w:rPr>
          <w:t>www.weg.net</w:t>
        </w:r>
      </w:hyperlink>
    </w:p>
    <w:p w14:paraId="7306D3EF" w14:textId="1D911A32" w:rsidR="00B26980" w:rsidRPr="002C7D7A" w:rsidRDefault="00B26980" w:rsidP="004D1E76">
      <w:pPr>
        <w:spacing w:line="240" w:lineRule="auto"/>
        <w:rPr>
          <w:rFonts w:ascii="Arial" w:eastAsia="MS Mincho" w:hAnsi="Arial" w:cs="Arial"/>
          <w:b/>
          <w:color w:val="CC3300"/>
          <w:spacing w:val="-3"/>
          <w:sz w:val="24"/>
          <w:szCs w:val="24"/>
          <w:lang w:val="fr-FR"/>
        </w:rPr>
      </w:pPr>
      <w:r>
        <w:rPr>
          <w:rFonts w:ascii="Arial" w:eastAsia="MS Mincho" w:hAnsi="Arial" w:cs="Arial"/>
          <w:b/>
          <w:bCs/>
          <w:color w:val="4472C4"/>
          <w:sz w:val="24"/>
          <w:szCs w:val="24"/>
          <w:lang w:val="fr"/>
        </w:rPr>
        <w:t>Réf. :</w:t>
      </w:r>
      <w:r>
        <w:rPr>
          <w:rFonts w:ascii="Arial" w:eastAsia="MS Mincho" w:hAnsi="Arial" w:cs="Arial"/>
          <w:sz w:val="24"/>
          <w:szCs w:val="24"/>
          <w:lang w:val="fr"/>
        </w:rPr>
        <w:t xml:space="preserve"> WEG189/</w:t>
      </w:r>
      <w:r w:rsidR="007E21EE">
        <w:rPr>
          <w:rFonts w:ascii="Arial" w:eastAsia="MS Mincho" w:hAnsi="Arial" w:cs="Arial"/>
          <w:sz w:val="24"/>
          <w:szCs w:val="24"/>
          <w:lang w:val="fr"/>
        </w:rPr>
        <w:t>11</w:t>
      </w:r>
      <w:r>
        <w:rPr>
          <w:rFonts w:ascii="Arial" w:eastAsia="MS Mincho" w:hAnsi="Arial" w:cs="Arial"/>
          <w:sz w:val="24"/>
          <w:szCs w:val="24"/>
          <w:lang w:val="fr"/>
        </w:rPr>
        <w:t xml:space="preserve">/20 </w:t>
      </w:r>
    </w:p>
    <w:p w14:paraId="10D378A4" w14:textId="0114A717" w:rsidR="004F5B55" w:rsidRPr="002C7D7A" w:rsidRDefault="004F5B55">
      <w:pPr>
        <w:rPr>
          <w:rFonts w:ascii="Arial" w:hAnsi="Arial" w:cs="Arial"/>
          <w:sz w:val="24"/>
          <w:szCs w:val="24"/>
          <w:lang w:val="fr-FR"/>
        </w:rPr>
      </w:pPr>
    </w:p>
    <w:sectPr w:rsidR="004F5B55" w:rsidRPr="002C7D7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8E7131"/>
    <w:multiLevelType w:val="multilevel"/>
    <w:tmpl w:val="77B01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678540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5B55"/>
    <w:rsid w:val="000157A8"/>
    <w:rsid w:val="00050C08"/>
    <w:rsid w:val="00064B9B"/>
    <w:rsid w:val="00065CCB"/>
    <w:rsid w:val="00073A18"/>
    <w:rsid w:val="00086BCE"/>
    <w:rsid w:val="00124327"/>
    <w:rsid w:val="00143006"/>
    <w:rsid w:val="001526E9"/>
    <w:rsid w:val="001846A2"/>
    <w:rsid w:val="001B1E36"/>
    <w:rsid w:val="001C4FC7"/>
    <w:rsid w:val="001E1FDA"/>
    <w:rsid w:val="001F27DB"/>
    <w:rsid w:val="00241F49"/>
    <w:rsid w:val="00246E5A"/>
    <w:rsid w:val="002B0A77"/>
    <w:rsid w:val="002C7944"/>
    <w:rsid w:val="002C7D7A"/>
    <w:rsid w:val="002F3604"/>
    <w:rsid w:val="0030785B"/>
    <w:rsid w:val="00324C05"/>
    <w:rsid w:val="00354406"/>
    <w:rsid w:val="00375591"/>
    <w:rsid w:val="003C00D4"/>
    <w:rsid w:val="004105C3"/>
    <w:rsid w:val="00440A3E"/>
    <w:rsid w:val="004C5040"/>
    <w:rsid w:val="004D1E76"/>
    <w:rsid w:val="004D615C"/>
    <w:rsid w:val="004E768D"/>
    <w:rsid w:val="004F123D"/>
    <w:rsid w:val="004F5B55"/>
    <w:rsid w:val="00511070"/>
    <w:rsid w:val="00517FE1"/>
    <w:rsid w:val="005211A0"/>
    <w:rsid w:val="005437D3"/>
    <w:rsid w:val="0054648E"/>
    <w:rsid w:val="005A2040"/>
    <w:rsid w:val="005A68D0"/>
    <w:rsid w:val="005B3663"/>
    <w:rsid w:val="00601D5B"/>
    <w:rsid w:val="006150CD"/>
    <w:rsid w:val="00623CF2"/>
    <w:rsid w:val="006B0FB1"/>
    <w:rsid w:val="006C365A"/>
    <w:rsid w:val="006F3344"/>
    <w:rsid w:val="00733DFE"/>
    <w:rsid w:val="007404D7"/>
    <w:rsid w:val="00766C1D"/>
    <w:rsid w:val="00767B46"/>
    <w:rsid w:val="007C43AB"/>
    <w:rsid w:val="007C4858"/>
    <w:rsid w:val="007E21EE"/>
    <w:rsid w:val="007E3604"/>
    <w:rsid w:val="00826D81"/>
    <w:rsid w:val="00833E21"/>
    <w:rsid w:val="00855309"/>
    <w:rsid w:val="00862DBA"/>
    <w:rsid w:val="00877044"/>
    <w:rsid w:val="008831AA"/>
    <w:rsid w:val="008B67EF"/>
    <w:rsid w:val="008D7CD8"/>
    <w:rsid w:val="008F3547"/>
    <w:rsid w:val="008F7E06"/>
    <w:rsid w:val="00901BC8"/>
    <w:rsid w:val="00966EF4"/>
    <w:rsid w:val="009A3140"/>
    <w:rsid w:val="009A4BF3"/>
    <w:rsid w:val="009E26A5"/>
    <w:rsid w:val="009E55EF"/>
    <w:rsid w:val="009F59C3"/>
    <w:rsid w:val="00A20F04"/>
    <w:rsid w:val="00A23D2C"/>
    <w:rsid w:val="00A508DF"/>
    <w:rsid w:val="00A67525"/>
    <w:rsid w:val="00A74D5D"/>
    <w:rsid w:val="00AB2508"/>
    <w:rsid w:val="00AC2893"/>
    <w:rsid w:val="00AF2D23"/>
    <w:rsid w:val="00B01E42"/>
    <w:rsid w:val="00B26980"/>
    <w:rsid w:val="00B50129"/>
    <w:rsid w:val="00B56D3B"/>
    <w:rsid w:val="00B77A5B"/>
    <w:rsid w:val="00B81018"/>
    <w:rsid w:val="00BA1448"/>
    <w:rsid w:val="00BB075F"/>
    <w:rsid w:val="00BB2904"/>
    <w:rsid w:val="00BC36A1"/>
    <w:rsid w:val="00BD2891"/>
    <w:rsid w:val="00BF0F6D"/>
    <w:rsid w:val="00BF39EF"/>
    <w:rsid w:val="00C1795E"/>
    <w:rsid w:val="00C5612A"/>
    <w:rsid w:val="00C81DE8"/>
    <w:rsid w:val="00C94A4A"/>
    <w:rsid w:val="00CC3BB4"/>
    <w:rsid w:val="00CD19E8"/>
    <w:rsid w:val="00CE4E3E"/>
    <w:rsid w:val="00D05598"/>
    <w:rsid w:val="00D266A5"/>
    <w:rsid w:val="00DD68BB"/>
    <w:rsid w:val="00E00432"/>
    <w:rsid w:val="00E265FF"/>
    <w:rsid w:val="00E267F3"/>
    <w:rsid w:val="00E46873"/>
    <w:rsid w:val="00E60693"/>
    <w:rsid w:val="00E81DCE"/>
    <w:rsid w:val="00E9236D"/>
    <w:rsid w:val="00EA5143"/>
    <w:rsid w:val="00EE001C"/>
    <w:rsid w:val="00EE23B6"/>
    <w:rsid w:val="00F20AFC"/>
    <w:rsid w:val="00F22253"/>
    <w:rsid w:val="00F35E81"/>
    <w:rsid w:val="00FB0BFB"/>
    <w:rsid w:val="00FB5989"/>
    <w:rsid w:val="00FE10C7"/>
    <w:rsid w:val="00FE4A1B"/>
    <w:rsid w:val="00FE7630"/>
    <w:rsid w:val="00FF67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ED99EE"/>
  <w15:chartTrackingRefBased/>
  <w15:docId w15:val="{E96D4E18-1D7E-48C9-99B9-5619C6E052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F5B55"/>
    <w:pPr>
      <w:keepNext/>
      <w:spacing w:before="240" w:after="60" w:line="240" w:lineRule="auto"/>
      <w:outlineLvl w:val="0"/>
    </w:pPr>
    <w:rPr>
      <w:rFonts w:ascii="Cambria" w:eastAsia="Times New Roman" w:hAnsi="Cambria" w:cs="Times New Roman"/>
      <w:b/>
      <w:bCs/>
      <w:kern w:val="32"/>
      <w:sz w:val="32"/>
      <w:szCs w:val="32"/>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5B55"/>
    <w:rPr>
      <w:rFonts w:ascii="Cambria" w:eastAsia="Times New Roman" w:hAnsi="Cambria" w:cs="Times New Roman"/>
      <w:b/>
      <w:bCs/>
      <w:kern w:val="32"/>
      <w:sz w:val="32"/>
      <w:szCs w:val="32"/>
      <w:lang w:val="x-none"/>
    </w:rPr>
  </w:style>
  <w:style w:type="character" w:styleId="Hyperlink">
    <w:name w:val="Hyperlink"/>
    <w:uiPriority w:val="99"/>
    <w:unhideWhenUsed/>
    <w:rsid w:val="004F5B55"/>
    <w:rPr>
      <w:rFonts w:ascii="Times New Roman" w:hAnsi="Times New Roman" w:cs="Times New Roman" w:hint="default"/>
      <w:color w:val="0000FF"/>
      <w:u w:val="single"/>
    </w:rPr>
  </w:style>
  <w:style w:type="paragraph" w:styleId="BalloonText">
    <w:name w:val="Balloon Text"/>
    <w:basedOn w:val="Normal"/>
    <w:link w:val="BalloonTextChar"/>
    <w:uiPriority w:val="99"/>
    <w:semiHidden/>
    <w:unhideWhenUsed/>
    <w:rsid w:val="00065C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5CCB"/>
    <w:rPr>
      <w:rFonts w:ascii="Segoe UI" w:hAnsi="Segoe UI" w:cs="Segoe UI"/>
      <w:sz w:val="18"/>
      <w:szCs w:val="18"/>
    </w:rPr>
  </w:style>
  <w:style w:type="character" w:customStyle="1" w:styleId="UnresolvedMention1">
    <w:name w:val="Unresolved Mention1"/>
    <w:basedOn w:val="DefaultParagraphFont"/>
    <w:uiPriority w:val="99"/>
    <w:semiHidden/>
    <w:unhideWhenUsed/>
    <w:rsid w:val="00F22253"/>
    <w:rPr>
      <w:color w:val="605E5C"/>
      <w:shd w:val="clear" w:color="auto" w:fill="E1DFDD"/>
    </w:rPr>
  </w:style>
  <w:style w:type="paragraph" w:styleId="NormalWeb">
    <w:name w:val="Normal (Web)"/>
    <w:basedOn w:val="Normal"/>
    <w:uiPriority w:val="99"/>
    <w:semiHidden/>
    <w:unhideWhenUsed/>
    <w:rsid w:val="00766C1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5A68D0"/>
    <w:rPr>
      <w:sz w:val="16"/>
      <w:szCs w:val="16"/>
    </w:rPr>
  </w:style>
  <w:style w:type="paragraph" w:styleId="CommentText">
    <w:name w:val="annotation text"/>
    <w:basedOn w:val="Normal"/>
    <w:link w:val="CommentTextChar"/>
    <w:uiPriority w:val="99"/>
    <w:semiHidden/>
    <w:unhideWhenUsed/>
    <w:rsid w:val="005A68D0"/>
    <w:pPr>
      <w:spacing w:line="240" w:lineRule="auto"/>
    </w:pPr>
    <w:rPr>
      <w:sz w:val="20"/>
      <w:szCs w:val="20"/>
    </w:rPr>
  </w:style>
  <w:style w:type="character" w:customStyle="1" w:styleId="CommentTextChar">
    <w:name w:val="Comment Text Char"/>
    <w:basedOn w:val="DefaultParagraphFont"/>
    <w:link w:val="CommentText"/>
    <w:uiPriority w:val="99"/>
    <w:semiHidden/>
    <w:rsid w:val="005A68D0"/>
    <w:rPr>
      <w:sz w:val="20"/>
      <w:szCs w:val="20"/>
    </w:rPr>
  </w:style>
  <w:style w:type="paragraph" w:styleId="CommentSubject">
    <w:name w:val="annotation subject"/>
    <w:basedOn w:val="CommentText"/>
    <w:next w:val="CommentText"/>
    <w:link w:val="CommentSubjectChar"/>
    <w:uiPriority w:val="99"/>
    <w:semiHidden/>
    <w:unhideWhenUsed/>
    <w:rsid w:val="005A68D0"/>
    <w:rPr>
      <w:b/>
      <w:bCs/>
    </w:rPr>
  </w:style>
  <w:style w:type="character" w:customStyle="1" w:styleId="CommentSubjectChar">
    <w:name w:val="Comment Subject Char"/>
    <w:basedOn w:val="CommentTextChar"/>
    <w:link w:val="CommentSubject"/>
    <w:uiPriority w:val="99"/>
    <w:semiHidden/>
    <w:rsid w:val="005A68D0"/>
    <w:rPr>
      <w:b/>
      <w:bCs/>
      <w:sz w:val="20"/>
      <w:szCs w:val="20"/>
    </w:rPr>
  </w:style>
  <w:style w:type="character" w:customStyle="1" w:styleId="cf01">
    <w:name w:val="cf01"/>
    <w:basedOn w:val="DefaultParagraphFont"/>
    <w:rsid w:val="00246E5A"/>
    <w:rPr>
      <w:rFonts w:ascii="Segoe UI" w:hAnsi="Segoe UI" w:cs="Segoe UI" w:hint="default"/>
      <w:b/>
      <w:bCs/>
      <w:color w:val="262626"/>
      <w:sz w:val="28"/>
      <w:szCs w:val="28"/>
    </w:rPr>
  </w:style>
  <w:style w:type="character" w:styleId="UnresolvedMention">
    <w:name w:val="Unresolved Mention"/>
    <w:basedOn w:val="DefaultParagraphFont"/>
    <w:uiPriority w:val="99"/>
    <w:semiHidden/>
    <w:unhideWhenUsed/>
    <w:rsid w:val="00073A1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343358">
      <w:bodyDiv w:val="1"/>
      <w:marLeft w:val="0"/>
      <w:marRight w:val="0"/>
      <w:marTop w:val="0"/>
      <w:marBottom w:val="0"/>
      <w:divBdr>
        <w:top w:val="none" w:sz="0" w:space="0" w:color="auto"/>
        <w:left w:val="none" w:sz="0" w:space="0" w:color="auto"/>
        <w:bottom w:val="none" w:sz="0" w:space="0" w:color="auto"/>
        <w:right w:val="none" w:sz="0" w:space="0" w:color="auto"/>
      </w:divBdr>
    </w:div>
    <w:div w:id="110131443">
      <w:bodyDiv w:val="1"/>
      <w:marLeft w:val="0"/>
      <w:marRight w:val="0"/>
      <w:marTop w:val="0"/>
      <w:marBottom w:val="0"/>
      <w:divBdr>
        <w:top w:val="none" w:sz="0" w:space="0" w:color="auto"/>
        <w:left w:val="none" w:sz="0" w:space="0" w:color="auto"/>
        <w:bottom w:val="none" w:sz="0" w:space="0" w:color="auto"/>
        <w:right w:val="none" w:sz="0" w:space="0" w:color="auto"/>
      </w:divBdr>
    </w:div>
    <w:div w:id="314723829">
      <w:bodyDiv w:val="1"/>
      <w:marLeft w:val="0"/>
      <w:marRight w:val="0"/>
      <w:marTop w:val="0"/>
      <w:marBottom w:val="0"/>
      <w:divBdr>
        <w:top w:val="none" w:sz="0" w:space="0" w:color="auto"/>
        <w:left w:val="none" w:sz="0" w:space="0" w:color="auto"/>
        <w:bottom w:val="none" w:sz="0" w:space="0" w:color="auto"/>
        <w:right w:val="none" w:sz="0" w:space="0" w:color="auto"/>
      </w:divBdr>
    </w:div>
    <w:div w:id="344333669">
      <w:bodyDiv w:val="1"/>
      <w:marLeft w:val="0"/>
      <w:marRight w:val="0"/>
      <w:marTop w:val="0"/>
      <w:marBottom w:val="0"/>
      <w:divBdr>
        <w:top w:val="none" w:sz="0" w:space="0" w:color="auto"/>
        <w:left w:val="none" w:sz="0" w:space="0" w:color="auto"/>
        <w:bottom w:val="none" w:sz="0" w:space="0" w:color="auto"/>
        <w:right w:val="none" w:sz="0" w:space="0" w:color="auto"/>
      </w:divBdr>
    </w:div>
    <w:div w:id="478422144">
      <w:bodyDiv w:val="1"/>
      <w:marLeft w:val="0"/>
      <w:marRight w:val="0"/>
      <w:marTop w:val="0"/>
      <w:marBottom w:val="0"/>
      <w:divBdr>
        <w:top w:val="none" w:sz="0" w:space="0" w:color="auto"/>
        <w:left w:val="none" w:sz="0" w:space="0" w:color="auto"/>
        <w:bottom w:val="none" w:sz="0" w:space="0" w:color="auto"/>
        <w:right w:val="none" w:sz="0" w:space="0" w:color="auto"/>
      </w:divBdr>
    </w:div>
    <w:div w:id="1256865736">
      <w:bodyDiv w:val="1"/>
      <w:marLeft w:val="0"/>
      <w:marRight w:val="0"/>
      <w:marTop w:val="0"/>
      <w:marBottom w:val="0"/>
      <w:divBdr>
        <w:top w:val="none" w:sz="0" w:space="0" w:color="auto"/>
        <w:left w:val="none" w:sz="0" w:space="0" w:color="auto"/>
        <w:bottom w:val="none" w:sz="0" w:space="0" w:color="auto"/>
        <w:right w:val="none" w:sz="0" w:space="0" w:color="auto"/>
      </w:divBdr>
    </w:div>
    <w:div w:id="1337070579">
      <w:bodyDiv w:val="1"/>
      <w:marLeft w:val="0"/>
      <w:marRight w:val="0"/>
      <w:marTop w:val="0"/>
      <w:marBottom w:val="0"/>
      <w:divBdr>
        <w:top w:val="none" w:sz="0" w:space="0" w:color="auto"/>
        <w:left w:val="none" w:sz="0" w:space="0" w:color="auto"/>
        <w:bottom w:val="none" w:sz="0" w:space="0" w:color="auto"/>
        <w:right w:val="none" w:sz="0" w:space="0" w:color="auto"/>
      </w:divBdr>
    </w:div>
    <w:div w:id="1397631807">
      <w:bodyDiv w:val="1"/>
      <w:marLeft w:val="0"/>
      <w:marRight w:val="0"/>
      <w:marTop w:val="0"/>
      <w:marBottom w:val="0"/>
      <w:divBdr>
        <w:top w:val="none" w:sz="0" w:space="0" w:color="auto"/>
        <w:left w:val="none" w:sz="0" w:space="0" w:color="auto"/>
        <w:bottom w:val="none" w:sz="0" w:space="0" w:color="auto"/>
        <w:right w:val="none" w:sz="0" w:space="0" w:color="auto"/>
      </w:divBdr>
    </w:div>
    <w:div w:id="1977879637">
      <w:bodyDiv w:val="1"/>
      <w:marLeft w:val="0"/>
      <w:marRight w:val="0"/>
      <w:marTop w:val="0"/>
      <w:marBottom w:val="0"/>
      <w:divBdr>
        <w:top w:val="none" w:sz="0" w:space="0" w:color="auto"/>
        <w:left w:val="none" w:sz="0" w:space="0" w:color="auto"/>
        <w:bottom w:val="none" w:sz="0" w:space="0" w:color="auto"/>
        <w:right w:val="none" w:sz="0" w:space="0" w:color="auto"/>
      </w:divBdr>
    </w:div>
    <w:div w:id="2139297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eg-wg20.com/?utm_source=sj&amp;utm_medium=referral&amp;utm_campaign=weg189_stonejunction&amp;utm_content=weg189" TargetMode="External"/><Relationship Id="rId18" Type="http://schemas.openxmlformats.org/officeDocument/2006/relationships/hyperlink" Target="mailto:info-uk@weg.net" TargetMode="External"/><Relationship Id="rId26" Type="http://schemas.openxmlformats.org/officeDocument/2006/relationships/hyperlink" Target="http://www.weg.net" TargetMode="External"/><Relationship Id="rId3" Type="http://schemas.openxmlformats.org/officeDocument/2006/relationships/customXml" Target="../customXml/item3.xml"/><Relationship Id="rId21" Type="http://schemas.openxmlformats.org/officeDocument/2006/relationships/hyperlink" Target="http://www.stonejunction.co.uk/" TargetMode="External"/><Relationship Id="rId7" Type="http://schemas.openxmlformats.org/officeDocument/2006/relationships/webSettings" Target="webSettings.xml"/><Relationship Id="rId12" Type="http://schemas.openxmlformats.org/officeDocument/2006/relationships/hyperlink" Target="https://weg-wg20.com/?utm_source=sj&amp;utm_medium=referral&amp;utm_campaign=weg189_stonejunction&amp;utm_content=weg189" TargetMode="External"/><Relationship Id="rId17" Type="http://schemas.openxmlformats.org/officeDocument/2006/relationships/hyperlink" Target="http://www.weg.net" TargetMode="External"/><Relationship Id="rId25" Type="http://schemas.openxmlformats.org/officeDocument/2006/relationships/hyperlink" Target="https://www.linkedin.com/company/stone-junction-ltd" TargetMode="External"/><Relationship Id="rId2" Type="http://schemas.openxmlformats.org/officeDocument/2006/relationships/customXml" Target="../customXml/item2.xml"/><Relationship Id="rId16" Type="http://schemas.openxmlformats.org/officeDocument/2006/relationships/hyperlink" Target="https://www.weg.net/institutional/MR/en/all-news/all" TargetMode="External"/><Relationship Id="rId20" Type="http://schemas.openxmlformats.org/officeDocument/2006/relationships/hyperlink" Target="mailto:laura@stonejunction.co.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weg-WG20.com" TargetMode="External"/><Relationship Id="rId24" Type="http://schemas.openxmlformats.org/officeDocument/2006/relationships/hyperlink" Target="http://www.facebook.com/technicalPR" TargetMode="External"/><Relationship Id="rId5" Type="http://schemas.openxmlformats.org/officeDocument/2006/relationships/styles" Target="styles.xml"/><Relationship Id="rId15" Type="http://schemas.openxmlformats.org/officeDocument/2006/relationships/hyperlink" Target="https://www.wg20-gears.com/?utm_source=sj&amp;utm_medium=referral&amp;utm_campaign=weg189_stonejunction&amp;utm_content=weg189" TargetMode="External"/><Relationship Id="rId23" Type="http://schemas.openxmlformats.org/officeDocument/2006/relationships/hyperlink" Target="http://www.twitter.com/StoneJunctionPR" TargetMode="External"/><Relationship Id="rId28" Type="http://schemas.openxmlformats.org/officeDocument/2006/relationships/theme" Target="theme/theme1.xml"/><Relationship Id="rId10" Type="http://schemas.openxmlformats.org/officeDocument/2006/relationships/hyperlink" Target="https://weg-wg20.com/?utm_source=sj&amp;utm_medium=referral&amp;utm_campaign=weg189_stonejunction&amp;utm_content=weg189" TargetMode="External"/><Relationship Id="rId19" Type="http://schemas.openxmlformats.org/officeDocument/2006/relationships/hyperlink" Target="mailto:carla@stonejunction.co.uk" TargetMode="External"/><Relationship Id="rId4" Type="http://schemas.openxmlformats.org/officeDocument/2006/relationships/numbering" Target="numbering.xml"/><Relationship Id="rId9" Type="http://schemas.openxmlformats.org/officeDocument/2006/relationships/hyperlink" Target="https://www.weg.net/institutional/GB/en/?utm_source=WEG&amp;utm_medium=referral&amp;utm_campaign=weg189_stonejunction&amp;utm_content=weg189" TargetMode="External"/><Relationship Id="rId14" Type="http://schemas.openxmlformats.org/officeDocument/2006/relationships/hyperlink" Target="https://weg-wg20.com/?utm_source=sj&amp;utm_medium=referral&amp;utm_campaign=weg189_stonejunction&amp;utm_content=weg189" TargetMode="External"/><Relationship Id="rId22" Type="http://schemas.openxmlformats.org/officeDocument/2006/relationships/hyperlink" Target="http://www.stone-junction.blogspot.com"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9C4C392-DE91-4D29-A946-F6D114F52C49}"/>
</file>

<file path=customXml/itemProps2.xml><?xml version="1.0" encoding="utf-8"?>
<ds:datastoreItem xmlns:ds="http://schemas.openxmlformats.org/officeDocument/2006/customXml" ds:itemID="{6AB68144-66E3-4BE2-A2A7-DE1CDB88CD87}">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customXml/itemProps3.xml><?xml version="1.0" encoding="utf-8"?>
<ds:datastoreItem xmlns:ds="http://schemas.openxmlformats.org/officeDocument/2006/customXml" ds:itemID="{C51AE5F6-2131-408E-B2FD-A58F6AF93B3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897</Words>
  <Characters>5116</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Maren Gregg-Burkhart</cp:lastModifiedBy>
  <cp:revision>8</cp:revision>
  <dcterms:created xsi:type="dcterms:W3CDTF">2020-10-01T09:16:00Z</dcterms:created>
  <dcterms:modified xsi:type="dcterms:W3CDTF">2023-02-02T09:18:00Z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MediaServiceImageTags">
    <vt:lpwstr/>
  </property>
</Properties>
</file>