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88E1F" w14:textId="77777777" w:rsidR="00B86E1F" w:rsidRPr="008B7C88" w:rsidRDefault="000B7E0B" w:rsidP="005076D1">
      <w:pPr>
        <w:pStyle w:val="BodyCopy"/>
        <w:jc w:val="left"/>
        <w:rPr>
          <w:rFonts w:eastAsia="MS Mincho" w:cs="Arial"/>
        </w:rPr>
      </w:pPr>
      <w:r w:rsidRPr="008B7C88">
        <w:rPr>
          <w:rFonts w:eastAsia="MS Mincho" w:cs="Arial"/>
          <w:noProof/>
        </w:rPr>
        <w:drawing>
          <wp:inline distT="0" distB="0" distL="0" distR="0" wp14:anchorId="3CB88E51" wp14:editId="4C37037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CB88E20" w14:textId="77777777" w:rsidR="00FA03F5" w:rsidRPr="008B7C88" w:rsidRDefault="00FA03F5" w:rsidP="006154AA">
      <w:pPr>
        <w:pStyle w:val="Heading1"/>
        <w:spacing w:line="360" w:lineRule="auto"/>
        <w:rPr>
          <w:rFonts w:ascii="Arial" w:hAnsi="Arial" w:cs="Arial"/>
          <w:sz w:val="24"/>
          <w:szCs w:val="24"/>
          <w:lang w:val="en-GB"/>
        </w:rPr>
      </w:pPr>
    </w:p>
    <w:p w14:paraId="0E4677F9" w14:textId="77777777" w:rsidR="00885086" w:rsidRPr="00E6457E" w:rsidRDefault="00885086" w:rsidP="005963C5">
      <w:pPr>
        <w:spacing w:line="480" w:lineRule="auto"/>
        <w:jc w:val="center"/>
        <w:rPr>
          <w:rFonts w:cs="Arial"/>
          <w:b/>
          <w:sz w:val="32"/>
          <w:lang w:val="es-ES"/>
        </w:rPr>
      </w:pPr>
      <w:r w:rsidRPr="00E6457E">
        <w:rPr>
          <w:rFonts w:cs="Arial"/>
          <w:b/>
          <w:sz w:val="32"/>
          <w:lang w:val="es-ES"/>
        </w:rPr>
        <w:t>WEG anuncia el nuevo ADV200-SP para bombeo solar</w:t>
      </w:r>
    </w:p>
    <w:p w14:paraId="407550FE" w14:textId="1E834177" w:rsidR="00885086" w:rsidRPr="005963C5" w:rsidRDefault="00885086" w:rsidP="00885086">
      <w:pPr>
        <w:spacing w:line="480" w:lineRule="auto"/>
        <w:jc w:val="both"/>
        <w:rPr>
          <w:rFonts w:cs="Arial"/>
          <w:b/>
          <w:lang w:val="es-ES"/>
        </w:rPr>
      </w:pPr>
      <w:r w:rsidRPr="005963C5">
        <w:rPr>
          <w:rFonts w:cs="Arial"/>
          <w:b/>
          <w:lang w:val="es-ES"/>
        </w:rPr>
        <w:t>El nuevo variador está diseñado para optimizar las aplicaciones de bombeo sola</w:t>
      </w:r>
      <w:r w:rsidR="005963C5">
        <w:rPr>
          <w:rFonts w:cs="Arial"/>
          <w:b/>
          <w:lang w:val="es-ES"/>
        </w:rPr>
        <w:t>r.</w:t>
      </w:r>
    </w:p>
    <w:p w14:paraId="6FB0E953" w14:textId="77777777" w:rsidR="00885086" w:rsidRPr="005963C5" w:rsidRDefault="00885086" w:rsidP="00885086">
      <w:pPr>
        <w:spacing w:line="480" w:lineRule="auto"/>
        <w:jc w:val="both"/>
        <w:rPr>
          <w:rFonts w:cs="Arial"/>
          <w:bCs/>
          <w:lang w:val="es-ES"/>
        </w:rPr>
      </w:pPr>
    </w:p>
    <w:p w14:paraId="70F4192C" w14:textId="3F2FCEA2" w:rsidR="00885086" w:rsidRPr="005963C5" w:rsidRDefault="00885086" w:rsidP="00885086">
      <w:pPr>
        <w:spacing w:line="480" w:lineRule="auto"/>
        <w:jc w:val="both"/>
        <w:rPr>
          <w:rFonts w:cs="Arial"/>
          <w:b/>
          <w:lang w:val="es-ES"/>
        </w:rPr>
      </w:pPr>
      <w:r w:rsidRPr="005963C5">
        <w:rPr>
          <w:rFonts w:cs="Arial"/>
          <w:b/>
          <w:lang w:val="es-ES"/>
        </w:rPr>
        <w:t xml:space="preserve">WEG, </w:t>
      </w:r>
      <w:hyperlink r:id="rId12" w:history="1">
        <w:r w:rsidRPr="00D17D12">
          <w:rPr>
            <w:rStyle w:val="Hyperlink"/>
            <w:rFonts w:cs="Arial"/>
            <w:b/>
            <w:lang w:val="es-ES"/>
          </w:rPr>
          <w:t>proveedor líder de motores y variadores</w:t>
        </w:r>
      </w:hyperlink>
      <w:r w:rsidRPr="005963C5">
        <w:rPr>
          <w:rFonts w:cs="Arial"/>
          <w:b/>
          <w:lang w:val="es-ES"/>
        </w:rPr>
        <w:t>, ha anunciado el lanzamiento de su nuevo variador ADV200-SP para aplicaciones de bombeo solar. Este vanguardista variador de frecuencia está diseñado específicamente para sistemas de bombeo de agua solares aislados o híbridos, aportando un nuevo nivel de eficiencia y sostenibilidad a los sectores agrícola e industrial.</w:t>
      </w:r>
    </w:p>
    <w:p w14:paraId="5F76AF48" w14:textId="77777777" w:rsidR="00885086" w:rsidRPr="005963C5" w:rsidRDefault="00885086" w:rsidP="00885086">
      <w:pPr>
        <w:spacing w:line="480" w:lineRule="auto"/>
        <w:jc w:val="both"/>
        <w:rPr>
          <w:rFonts w:cs="Arial"/>
          <w:bCs/>
          <w:lang w:val="es-ES"/>
        </w:rPr>
      </w:pPr>
    </w:p>
    <w:p w14:paraId="672F5890" w14:textId="77777777" w:rsidR="00885086" w:rsidRPr="005963C5" w:rsidRDefault="00885086" w:rsidP="00885086">
      <w:pPr>
        <w:spacing w:line="480" w:lineRule="auto"/>
        <w:jc w:val="both"/>
        <w:rPr>
          <w:rFonts w:cs="Arial"/>
          <w:bCs/>
          <w:lang w:val="es-ES"/>
        </w:rPr>
      </w:pPr>
      <w:r w:rsidRPr="005963C5">
        <w:rPr>
          <w:rFonts w:cs="Arial"/>
          <w:bCs/>
          <w:lang w:val="es-ES"/>
        </w:rPr>
        <w:t xml:space="preserve">El convertidor ADV200-SP es una de las últimas novedades de WEG. Desarrollado utilizando la experiencia de WEG en tecnología de accionamientos industriales, el nuevo accionamiento combina la capacidad del actual convertidor ADV200 y la amplia experiencia de WEG en aplicaciones solares y de bombeo mediante paneles fotovoltaicos (FV). El accionamiento convierte la energía eléctrica suministrada por el panel fotovoltaico en energía mecánica que la bomba transforma en energía hidráulica. </w:t>
      </w:r>
    </w:p>
    <w:p w14:paraId="1E656C5F" w14:textId="77777777" w:rsidR="00885086" w:rsidRPr="005963C5" w:rsidRDefault="00885086" w:rsidP="00885086">
      <w:pPr>
        <w:spacing w:line="480" w:lineRule="auto"/>
        <w:jc w:val="both"/>
        <w:rPr>
          <w:rFonts w:cs="Arial"/>
          <w:bCs/>
          <w:lang w:val="es-ES"/>
        </w:rPr>
      </w:pPr>
    </w:p>
    <w:p w14:paraId="33FB4D1B" w14:textId="77777777" w:rsidR="00885086" w:rsidRPr="005963C5" w:rsidRDefault="00885086" w:rsidP="00885086">
      <w:pPr>
        <w:spacing w:line="480" w:lineRule="auto"/>
        <w:jc w:val="both"/>
        <w:rPr>
          <w:rFonts w:cs="Arial"/>
          <w:bCs/>
          <w:lang w:val="es-ES"/>
        </w:rPr>
      </w:pPr>
      <w:r w:rsidRPr="005963C5">
        <w:rPr>
          <w:rFonts w:cs="Arial"/>
          <w:bCs/>
          <w:lang w:val="es-ES"/>
        </w:rPr>
        <w:t>Aprovechando la sinergia entre sus inversores y la tecnología solar, WEG también ha desarrollado una innovadora aplicación de software que optimiza el funcionamiento de los sistemas de bombas solares, estableciendo un nuevo estándar en el sector.</w:t>
      </w:r>
    </w:p>
    <w:p w14:paraId="4AC9E16B" w14:textId="77777777" w:rsidR="00885086" w:rsidRPr="005963C5" w:rsidRDefault="00885086" w:rsidP="00885086">
      <w:pPr>
        <w:spacing w:line="480" w:lineRule="auto"/>
        <w:jc w:val="both"/>
        <w:rPr>
          <w:rFonts w:cs="Arial"/>
          <w:bCs/>
          <w:lang w:val="es-ES"/>
        </w:rPr>
      </w:pPr>
    </w:p>
    <w:p w14:paraId="3DD9B331" w14:textId="77777777" w:rsidR="00885086" w:rsidRPr="005963C5" w:rsidRDefault="00885086" w:rsidP="00885086">
      <w:pPr>
        <w:spacing w:line="480" w:lineRule="auto"/>
        <w:jc w:val="both"/>
        <w:rPr>
          <w:rFonts w:cs="Arial"/>
          <w:bCs/>
          <w:lang w:val="es-ES"/>
        </w:rPr>
      </w:pPr>
      <w:r w:rsidRPr="005963C5">
        <w:rPr>
          <w:rFonts w:cs="Arial"/>
          <w:bCs/>
          <w:lang w:val="es-ES"/>
        </w:rPr>
        <w:t>El núcleo de esta innovación es el algoritmo de búsqueda dinámica MPPT, desarrollado por los ingenieros de WEG. Este algoritmo garantiza que el ADV200-SP Drive se adapte continuamente a las condiciones variables de irradiación y temperatura, maximizando la carga del sistema con la máxima potencia de salida. Esta adaptabilidad supone un cambio radical, ya que permite una mayor eficiencia y rendimiento en condiciones reales.</w:t>
      </w:r>
    </w:p>
    <w:p w14:paraId="63BC392A" w14:textId="77777777" w:rsidR="00885086" w:rsidRPr="005963C5" w:rsidRDefault="00885086" w:rsidP="00885086">
      <w:pPr>
        <w:spacing w:line="480" w:lineRule="auto"/>
        <w:jc w:val="both"/>
        <w:rPr>
          <w:rFonts w:cs="Arial"/>
          <w:bCs/>
          <w:lang w:val="es-ES"/>
        </w:rPr>
      </w:pPr>
    </w:p>
    <w:p w14:paraId="46E9DC58" w14:textId="77777777" w:rsidR="00885086" w:rsidRPr="005963C5" w:rsidRDefault="00885086" w:rsidP="00885086">
      <w:pPr>
        <w:spacing w:line="480" w:lineRule="auto"/>
        <w:jc w:val="both"/>
        <w:rPr>
          <w:rFonts w:cs="Arial"/>
          <w:bCs/>
          <w:lang w:val="es-ES"/>
        </w:rPr>
      </w:pPr>
      <w:r w:rsidRPr="005963C5">
        <w:rPr>
          <w:rFonts w:cs="Arial"/>
          <w:bCs/>
          <w:lang w:val="es-ES"/>
        </w:rPr>
        <w:t>Una de las características más destacadas del ADV200-SP Drive es su versatilidad para adaptarse a distintas configuraciones de planta. Se adapta perfectamente a sistemas aislados con una sola fuente solar, a sistemas duales que alternan entre fuentes solares y fuentes secundarias de CA, y a configuraciones híbridas que también pueden incorporar ambas fuentes. Una función especial de gestor de fuentes integrada en el accionamiento simplifica la gestión de los sistemas de doble fuente, garantizando una transición fluida de una fuente a otra al tiempo que prioriza el uso de la energía solar gratuita para mantener la continuidad del riego.</w:t>
      </w:r>
    </w:p>
    <w:p w14:paraId="14B6FEE1" w14:textId="77777777" w:rsidR="00885086" w:rsidRPr="005963C5" w:rsidRDefault="00885086" w:rsidP="00885086">
      <w:pPr>
        <w:spacing w:line="480" w:lineRule="auto"/>
        <w:jc w:val="both"/>
        <w:rPr>
          <w:rFonts w:cs="Arial"/>
          <w:bCs/>
          <w:lang w:val="es-ES"/>
        </w:rPr>
      </w:pPr>
    </w:p>
    <w:p w14:paraId="4B5CA839" w14:textId="77777777" w:rsidR="00885086" w:rsidRPr="005963C5" w:rsidRDefault="00885086" w:rsidP="00885086">
      <w:pPr>
        <w:spacing w:line="480" w:lineRule="auto"/>
        <w:jc w:val="both"/>
        <w:rPr>
          <w:rFonts w:cs="Arial"/>
          <w:bCs/>
          <w:lang w:val="es-ES"/>
        </w:rPr>
      </w:pPr>
      <w:r w:rsidRPr="005963C5">
        <w:rPr>
          <w:rFonts w:cs="Arial"/>
          <w:bCs/>
          <w:lang w:val="es-ES"/>
        </w:rPr>
        <w:t>El ADV200-SP dispone de una amplia gama de potencias, de 1,5 a 400 kW, lo que lo hace adecuado para una gran variedad de dimensiones de planta. Tanto si se integra en una explotación a pequeña escala como en un sistema de riego extenso y complejo, este accionamiento tiene la potencia y la adaptabilidad necesarias para satisfacer toda una serie de necesidades.</w:t>
      </w:r>
    </w:p>
    <w:p w14:paraId="3CAE6C2C" w14:textId="77777777" w:rsidR="00885086" w:rsidRPr="005963C5" w:rsidRDefault="00885086" w:rsidP="00885086">
      <w:pPr>
        <w:spacing w:line="480" w:lineRule="auto"/>
        <w:jc w:val="both"/>
        <w:rPr>
          <w:rFonts w:cs="Arial"/>
          <w:bCs/>
          <w:lang w:val="es-ES"/>
        </w:rPr>
      </w:pPr>
    </w:p>
    <w:p w14:paraId="0A78A92E" w14:textId="77777777" w:rsidR="00885086" w:rsidRPr="005963C5" w:rsidRDefault="00885086" w:rsidP="00885086">
      <w:pPr>
        <w:spacing w:line="480" w:lineRule="auto"/>
        <w:jc w:val="both"/>
        <w:rPr>
          <w:rFonts w:cs="Arial"/>
          <w:bCs/>
          <w:lang w:val="es-ES"/>
        </w:rPr>
      </w:pPr>
      <w:r w:rsidRPr="005963C5">
        <w:rPr>
          <w:rFonts w:cs="Arial"/>
          <w:bCs/>
          <w:lang w:val="es-ES"/>
        </w:rPr>
        <w:lastRenderedPageBreak/>
        <w:t>Con el fin de ofrecer una asistencia completa para la protección y el funcionamiento de la bomba, el ADV200-SP incorpora varias funciones especializadas en su software. Entre ellas se incluyen la gestión de sensores de radiación, la función de arranque y parada automáticos, el control del nivel del depósito, la protección contra funcionamiento en seco, el control del circuito de caudal y presión, la idoneidad para bombas de distribución y sumergibles e incluso una función de limpieza de bombas. Este completo conjunto de funciones garantiza que cualquier sistema de bombeo funcione sin problemas y con eficacia.</w:t>
      </w:r>
    </w:p>
    <w:p w14:paraId="51FF1157" w14:textId="77777777" w:rsidR="00885086" w:rsidRPr="005963C5" w:rsidRDefault="00885086" w:rsidP="00885086">
      <w:pPr>
        <w:spacing w:line="480" w:lineRule="auto"/>
        <w:jc w:val="both"/>
        <w:rPr>
          <w:rFonts w:cs="Arial"/>
          <w:bCs/>
          <w:lang w:val="es-ES"/>
        </w:rPr>
      </w:pPr>
    </w:p>
    <w:p w14:paraId="41492952" w14:textId="77777777" w:rsidR="00885086" w:rsidRPr="005963C5" w:rsidRDefault="00885086" w:rsidP="00885086">
      <w:pPr>
        <w:spacing w:line="480" w:lineRule="auto"/>
        <w:jc w:val="both"/>
        <w:rPr>
          <w:rFonts w:cs="Arial"/>
          <w:bCs/>
          <w:lang w:val="es-ES"/>
        </w:rPr>
      </w:pPr>
      <w:r w:rsidRPr="005963C5">
        <w:rPr>
          <w:rFonts w:cs="Arial"/>
          <w:bCs/>
          <w:lang w:val="es-ES"/>
        </w:rPr>
        <w:t>Además, el ADV200-SP se ha diseñado pensando en la facilidad de uso. Ofrece una interfaz sencilla e intuitiva, junto con herramientas directas para la puesta en marcha y optimización del sistema, lo que lo hace accesible tanto para profesionales experimentados como para los recién llegados a la tecnología de bombeo solar.</w:t>
      </w:r>
    </w:p>
    <w:p w14:paraId="2EC30C27" w14:textId="77777777" w:rsidR="00885086" w:rsidRPr="005963C5" w:rsidRDefault="00885086" w:rsidP="00885086">
      <w:pPr>
        <w:spacing w:line="480" w:lineRule="auto"/>
        <w:jc w:val="both"/>
        <w:rPr>
          <w:rFonts w:cs="Arial"/>
          <w:bCs/>
          <w:lang w:val="es-ES"/>
        </w:rPr>
      </w:pPr>
    </w:p>
    <w:p w14:paraId="05B4B067" w14:textId="13A82FC3" w:rsidR="57DEDD20" w:rsidRPr="00DB3705" w:rsidRDefault="00885086" w:rsidP="57DEDD20">
      <w:pPr>
        <w:spacing w:line="480" w:lineRule="auto"/>
        <w:jc w:val="both"/>
        <w:rPr>
          <w:bCs/>
          <w:i/>
          <w:iCs/>
          <w:lang w:val="es-ES"/>
        </w:rPr>
      </w:pPr>
      <w:r w:rsidRPr="005963C5">
        <w:rPr>
          <w:rFonts w:cs="Arial"/>
          <w:bCs/>
          <w:lang w:val="es-ES"/>
        </w:rPr>
        <w:t xml:space="preserve">"WEG se compromete a ofrecer soluciones sostenibles que impulsen la eficiencia y la innovación en los distintos sectores industriales a los que servimos", explica </w:t>
      </w:r>
      <w:r w:rsidR="00E6457E" w:rsidRPr="005963C5">
        <w:rPr>
          <w:rFonts w:cs="Arial"/>
          <w:bCs/>
          <w:lang w:val="es-ES"/>
        </w:rPr>
        <w:t>Javier de la Morena</w:t>
      </w:r>
      <w:r w:rsidRPr="005963C5">
        <w:rPr>
          <w:rFonts w:cs="Arial"/>
          <w:bCs/>
          <w:lang w:val="es-ES"/>
        </w:rPr>
        <w:t xml:space="preserve">, </w:t>
      </w:r>
      <w:r w:rsidR="00E6457E" w:rsidRPr="005963C5">
        <w:rPr>
          <w:rFonts w:cs="Arial"/>
          <w:bCs/>
          <w:lang w:val="es-ES"/>
        </w:rPr>
        <w:t>responsable de grandes cuentas y</w:t>
      </w:r>
      <w:r w:rsidRPr="005963C5">
        <w:rPr>
          <w:rFonts w:cs="Arial"/>
          <w:bCs/>
          <w:lang w:val="es-ES"/>
        </w:rPr>
        <w:t xml:space="preserve"> marketing de WEG</w:t>
      </w:r>
      <w:r w:rsidR="00E6457E" w:rsidRPr="005963C5">
        <w:rPr>
          <w:rFonts w:cs="Arial"/>
          <w:bCs/>
          <w:lang w:val="es-ES"/>
        </w:rPr>
        <w:t xml:space="preserve"> Iberia</w:t>
      </w:r>
      <w:r w:rsidRPr="005963C5">
        <w:rPr>
          <w:rFonts w:cs="Arial"/>
          <w:bCs/>
          <w:lang w:val="es-ES"/>
        </w:rPr>
        <w:t xml:space="preserve">. "El accionamiento ADV200-SP es una innovación de vanguardia para el bombeo solar. </w:t>
      </w:r>
      <w:r w:rsidR="00DB3705">
        <w:rPr>
          <w:rFonts w:cs="Arial"/>
          <w:bCs/>
          <w:lang w:val="es-ES"/>
        </w:rPr>
        <w:t>F</w:t>
      </w:r>
      <w:r w:rsidRPr="005963C5">
        <w:rPr>
          <w:rFonts w:cs="Arial"/>
          <w:bCs/>
          <w:lang w:val="es-ES"/>
        </w:rPr>
        <w:t>ácil de usar</w:t>
      </w:r>
      <w:r w:rsidR="00DB3705">
        <w:rPr>
          <w:rFonts w:cs="Arial"/>
          <w:bCs/>
          <w:lang w:val="es-ES"/>
        </w:rPr>
        <w:t xml:space="preserve"> y </w:t>
      </w:r>
      <w:r w:rsidRPr="005963C5">
        <w:rPr>
          <w:rFonts w:cs="Arial"/>
          <w:bCs/>
          <w:lang w:val="es-ES"/>
        </w:rPr>
        <w:t>eficiente</w:t>
      </w:r>
      <w:r w:rsidR="00DB3705">
        <w:rPr>
          <w:rFonts w:cs="Arial"/>
          <w:bCs/>
          <w:lang w:val="es-ES"/>
        </w:rPr>
        <w:t>,</w:t>
      </w:r>
      <w:r w:rsidRPr="005963C5">
        <w:rPr>
          <w:rFonts w:cs="Arial"/>
          <w:bCs/>
          <w:lang w:val="es-ES"/>
        </w:rPr>
        <w:t xml:space="preserve"> el ADV200-SP es una solución ideal para apoyar operaciones de bombeo más limpias."</w:t>
      </w:r>
    </w:p>
    <w:p w14:paraId="3CB88E37" w14:textId="77777777" w:rsidR="003E5474" w:rsidRPr="00DB3705" w:rsidRDefault="003E5474" w:rsidP="003E5474">
      <w:pPr>
        <w:rPr>
          <w:rFonts w:cs="Arial"/>
          <w:lang w:val="es-ES"/>
        </w:rPr>
      </w:pPr>
    </w:p>
    <w:p w14:paraId="1B20DF6E" w14:textId="2B3D7DF8" w:rsidR="005963C5" w:rsidRPr="005963C5" w:rsidRDefault="005963C5" w:rsidP="005963C5">
      <w:pPr>
        <w:rPr>
          <w:rFonts w:eastAsia="MS Mincho" w:cs="Arial"/>
          <w:lang w:val="es-ES"/>
        </w:rPr>
      </w:pPr>
      <w:r w:rsidRPr="005963C5">
        <w:rPr>
          <w:b/>
          <w:color w:val="4472C4"/>
          <w:lang w:val="es-ES"/>
        </w:rPr>
        <w:t>Fin:</w:t>
      </w:r>
      <w:r w:rsidRPr="005963C5">
        <w:rPr>
          <w:lang w:val="es-ES"/>
        </w:rPr>
        <w:t xml:space="preserve"> </w:t>
      </w:r>
      <w:r w:rsidR="00E446BB">
        <w:rPr>
          <w:lang w:val="es-ES"/>
        </w:rPr>
        <w:t>617</w:t>
      </w:r>
      <w:r w:rsidRPr="005963C5">
        <w:rPr>
          <w:lang w:val="es-ES"/>
        </w:rPr>
        <w:t xml:space="preserve"> palabras</w:t>
      </w:r>
    </w:p>
    <w:p w14:paraId="50811342" w14:textId="77777777" w:rsidR="005963C5" w:rsidRPr="005963C5" w:rsidRDefault="005963C5" w:rsidP="005963C5">
      <w:pPr>
        <w:rPr>
          <w:rFonts w:eastAsia="MS Mincho"/>
          <w:lang w:val="es-ES"/>
        </w:rPr>
      </w:pPr>
    </w:p>
    <w:p w14:paraId="02CCAAE4" w14:textId="77777777" w:rsidR="005963C5" w:rsidRPr="005963C5" w:rsidRDefault="005963C5" w:rsidP="005963C5">
      <w:pPr>
        <w:rPr>
          <w:lang w:val="es-ES"/>
        </w:rPr>
      </w:pPr>
      <w:r w:rsidRPr="005963C5">
        <w:rPr>
          <w:b/>
          <w:bCs/>
          <w:color w:val="4472C4"/>
          <w:lang w:val="es-ES"/>
        </w:rPr>
        <w:t>Nota del Editor:</w:t>
      </w:r>
      <w:r w:rsidRPr="005963C5">
        <w:rPr>
          <w:b/>
          <w:bCs/>
          <w:color w:val="439639"/>
          <w:lang w:val="es-ES"/>
        </w:rPr>
        <w:t xml:space="preserve"> </w:t>
      </w:r>
      <w:r w:rsidRPr="005963C5">
        <w:rPr>
          <w:lang w:val="es-ES"/>
        </w:rPr>
        <w:t xml:space="preserve">Para mantenerse informado acerca de los últimos comunicados de prensa, artículos de opinión y aplicaciones de productos WEG, visite </w:t>
      </w:r>
      <w:hyperlink r:id="rId13" w:history="1">
        <w:r w:rsidRPr="005963C5">
          <w:rPr>
            <w:rStyle w:val="Hyperlink"/>
            <w:lang w:val="es-ES"/>
          </w:rPr>
          <w:t>https://www.weg.net/institutional/MR/en/all-news/all</w:t>
        </w:r>
      </w:hyperlink>
    </w:p>
    <w:p w14:paraId="00C48D20" w14:textId="77777777" w:rsidR="005963C5" w:rsidRPr="005963C5" w:rsidRDefault="005963C5" w:rsidP="005963C5">
      <w:pPr>
        <w:rPr>
          <w:rFonts w:eastAsia="MS Mincho"/>
          <w:b/>
          <w:bCs/>
          <w:color w:val="00529C"/>
          <w:lang w:val="es-ES"/>
        </w:rPr>
      </w:pPr>
    </w:p>
    <w:p w14:paraId="0F66C31F" w14:textId="77777777" w:rsidR="005963C5" w:rsidRPr="005963C5" w:rsidRDefault="005963C5" w:rsidP="005963C5">
      <w:pPr>
        <w:rPr>
          <w:color w:val="E6950B"/>
          <w:shd w:val="clear" w:color="auto" w:fill="FFFFFF"/>
          <w:lang w:val="es-ES"/>
        </w:rPr>
      </w:pPr>
      <w:r w:rsidRPr="005963C5">
        <w:rPr>
          <w:b/>
          <w:bCs/>
          <w:color w:val="4472C4"/>
          <w:lang w:val="es-ES"/>
        </w:rPr>
        <w:t>Para toda información suplementaria, diríjase a:</w:t>
      </w:r>
      <w:r w:rsidRPr="005963C5">
        <w:rPr>
          <w:b/>
          <w:bCs/>
          <w:color w:val="439639"/>
          <w:lang w:val="es-ES"/>
        </w:rPr>
        <w:t xml:space="preserve"> </w:t>
      </w:r>
      <w:r w:rsidRPr="005963C5">
        <w:rPr>
          <w:color w:val="000000"/>
          <w:lang w:val="es-ES"/>
        </w:rPr>
        <w:t>Javier de la Morena, responsable de grandes cuentas y marketing de WEG Iberia</w:t>
      </w:r>
    </w:p>
    <w:p w14:paraId="7458331A" w14:textId="77777777" w:rsidR="005963C5" w:rsidRPr="005963C5" w:rsidRDefault="005963C5" w:rsidP="005963C5">
      <w:pPr>
        <w:rPr>
          <w:rFonts w:eastAsia="MS Mincho"/>
          <w:bCs/>
          <w:lang w:val="es-ES"/>
        </w:rPr>
      </w:pPr>
      <w:r w:rsidRPr="005963C5">
        <w:rPr>
          <w:b/>
          <w:color w:val="4472C4"/>
          <w:lang w:val="es-ES"/>
        </w:rPr>
        <w:t>www:</w:t>
      </w:r>
      <w:r w:rsidRPr="005963C5">
        <w:rPr>
          <w:color w:val="FF9933"/>
          <w:lang w:val="es-ES"/>
        </w:rPr>
        <w:t xml:space="preserve"> </w:t>
      </w:r>
      <w:hyperlink r:id="rId14" w:history="1">
        <w:r w:rsidRPr="005963C5">
          <w:rPr>
            <w:rStyle w:val="Hyperlink"/>
            <w:lang w:val="es-ES"/>
          </w:rPr>
          <w:t>www.we</w:t>
        </w:r>
        <w:bookmarkStart w:id="0" w:name="_Hlt27061889"/>
        <w:bookmarkStart w:id="1" w:name="_Hlt27061890"/>
        <w:r w:rsidRPr="005963C5">
          <w:rPr>
            <w:rStyle w:val="Hyperlink"/>
            <w:lang w:val="es-ES"/>
          </w:rPr>
          <w:t>g</w:t>
        </w:r>
        <w:bookmarkEnd w:id="0"/>
        <w:bookmarkEnd w:id="1"/>
        <w:r w:rsidRPr="005963C5">
          <w:rPr>
            <w:rStyle w:val="Hyperlink"/>
            <w:lang w:val="es-ES"/>
          </w:rPr>
          <w:t>.net</w:t>
        </w:r>
      </w:hyperlink>
      <w:r w:rsidRPr="005963C5">
        <w:rPr>
          <w:lang w:val="es-ES"/>
        </w:rPr>
        <w:t xml:space="preserve"> </w:t>
      </w:r>
    </w:p>
    <w:p w14:paraId="76AD5805" w14:textId="77777777" w:rsidR="005963C5" w:rsidRPr="005963C5" w:rsidRDefault="005963C5" w:rsidP="005963C5">
      <w:pPr>
        <w:rPr>
          <w:lang w:val="es-ES"/>
        </w:rPr>
      </w:pPr>
      <w:r w:rsidRPr="005963C5">
        <w:rPr>
          <w:b/>
          <w:color w:val="4472C4"/>
          <w:lang w:val="es-ES"/>
        </w:rPr>
        <w:t>Correo Electrónico:</w:t>
      </w:r>
      <w:r w:rsidRPr="005963C5">
        <w:rPr>
          <w:color w:val="00B4EC"/>
          <w:lang w:val="es-ES"/>
        </w:rPr>
        <w:t xml:space="preserve"> </w:t>
      </w:r>
      <w:hyperlink r:id="rId15" w:history="1">
        <w:r w:rsidRPr="005963C5">
          <w:rPr>
            <w:rStyle w:val="Hyperlink"/>
            <w:lang w:val="es-ES"/>
          </w:rPr>
          <w:t>jmorena@weg.net</w:t>
        </w:r>
      </w:hyperlink>
    </w:p>
    <w:p w14:paraId="7316B9AA" w14:textId="77777777" w:rsidR="005963C5" w:rsidRPr="005963C5" w:rsidRDefault="005963C5" w:rsidP="005963C5">
      <w:pPr>
        <w:rPr>
          <w:rFonts w:eastAsia="MS Mincho"/>
          <w:color w:val="0C7289"/>
          <w:lang w:val="es-ES"/>
        </w:rPr>
      </w:pPr>
    </w:p>
    <w:p w14:paraId="49DDA6B8" w14:textId="77777777" w:rsidR="005963C5" w:rsidRPr="001F3E27" w:rsidRDefault="005963C5" w:rsidP="005963C5">
      <w:pPr>
        <w:rPr>
          <w:rFonts w:eastAsia="MS Mincho"/>
          <w:spacing w:val="-3"/>
        </w:rPr>
      </w:pPr>
      <w:proofErr w:type="spellStart"/>
      <w:r w:rsidRPr="001F3E27">
        <w:rPr>
          <w:b/>
          <w:bCs/>
          <w:color w:val="4472C4"/>
        </w:rPr>
        <w:t>Consultas</w:t>
      </w:r>
      <w:proofErr w:type="spellEnd"/>
      <w:r w:rsidRPr="001F3E27">
        <w:rPr>
          <w:b/>
          <w:bCs/>
          <w:color w:val="4472C4"/>
        </w:rPr>
        <w:t xml:space="preserve"> de </w:t>
      </w:r>
      <w:proofErr w:type="spellStart"/>
      <w:r w:rsidRPr="001F3E27">
        <w:rPr>
          <w:b/>
          <w:bCs/>
          <w:color w:val="4472C4"/>
        </w:rPr>
        <w:t>prensa</w:t>
      </w:r>
      <w:proofErr w:type="spellEnd"/>
      <w:r w:rsidRPr="001F3E27">
        <w:rPr>
          <w:b/>
          <w:bCs/>
          <w:color w:val="4472C4"/>
        </w:rPr>
        <w:t>:</w:t>
      </w:r>
      <w:r w:rsidRPr="001F3E27">
        <w:rPr>
          <w:b/>
          <w:bCs/>
          <w:color w:val="00B4EC"/>
        </w:rPr>
        <w:t xml:space="preserve"> </w:t>
      </w:r>
      <w:r w:rsidRPr="001F3E27">
        <w:t>Laura England o Stephanie Wood – Stone Junction Ltd</w:t>
      </w:r>
    </w:p>
    <w:p w14:paraId="5751B357" w14:textId="77777777" w:rsidR="005963C5" w:rsidRPr="001F3E27" w:rsidRDefault="005963C5" w:rsidP="005963C5">
      <w:pPr>
        <w:rPr>
          <w:rFonts w:eastAsia="MS Mincho"/>
          <w:color w:val="002060"/>
          <w:spacing w:val="-3"/>
        </w:rPr>
      </w:pPr>
      <w:r w:rsidRPr="001F3E27">
        <w:t xml:space="preserve">1 St Mary's Gate, St Mary's Grove, Stafford, Staffordshire, ST16 2AW, Reino </w:t>
      </w:r>
      <w:proofErr w:type="spellStart"/>
      <w:r w:rsidRPr="001F3E27">
        <w:t>Unido</w:t>
      </w:r>
      <w:proofErr w:type="spellEnd"/>
      <w:r w:rsidRPr="001F3E27">
        <w:br/>
      </w:r>
      <w:proofErr w:type="spellStart"/>
      <w:r w:rsidRPr="001F3E27">
        <w:rPr>
          <w:b/>
          <w:bCs/>
          <w:color w:val="4472C4"/>
        </w:rPr>
        <w:t>Teléfono</w:t>
      </w:r>
      <w:proofErr w:type="spellEnd"/>
      <w:r w:rsidRPr="001F3E27">
        <w:rPr>
          <w:b/>
          <w:bCs/>
          <w:color w:val="4472C4"/>
        </w:rPr>
        <w:t>:</w:t>
      </w:r>
      <w:r w:rsidRPr="001F3E27">
        <w:rPr>
          <w:color w:val="002060"/>
        </w:rPr>
        <w:t xml:space="preserve"> </w:t>
      </w:r>
      <w:r w:rsidRPr="001F3E27">
        <w:t>+44 (0) 1785 225416</w:t>
      </w:r>
    </w:p>
    <w:p w14:paraId="7459E9EB" w14:textId="77777777" w:rsidR="005963C5" w:rsidRPr="005963C5" w:rsidRDefault="005963C5" w:rsidP="005963C5">
      <w:pPr>
        <w:rPr>
          <w:rFonts w:eastAsia="MS Mincho"/>
          <w:spacing w:val="-3"/>
          <w:lang w:val="es-ES"/>
        </w:rPr>
      </w:pPr>
      <w:r w:rsidRPr="005963C5">
        <w:rPr>
          <w:b/>
          <w:bCs/>
          <w:color w:val="4472C4"/>
          <w:lang w:val="es-ES"/>
        </w:rPr>
        <w:t>Correo Electrónico:</w:t>
      </w:r>
      <w:r w:rsidRPr="005963C5">
        <w:rPr>
          <w:color w:val="00B050"/>
          <w:lang w:val="es-ES"/>
        </w:rPr>
        <w:t xml:space="preserve"> </w:t>
      </w:r>
      <w:hyperlink r:id="rId16" w:history="1">
        <w:r w:rsidRPr="005963C5">
          <w:rPr>
            <w:rStyle w:val="Hyperlink"/>
            <w:lang w:val="es-ES"/>
          </w:rPr>
          <w:t>laura@stonejunction.co.uk</w:t>
        </w:r>
      </w:hyperlink>
      <w:r w:rsidRPr="005963C5">
        <w:rPr>
          <w:lang w:val="es-ES"/>
        </w:rPr>
        <w:t xml:space="preserve"> o </w:t>
      </w:r>
      <w:hyperlink r:id="rId17" w:history="1">
        <w:r w:rsidRPr="005963C5">
          <w:rPr>
            <w:rStyle w:val="Hyperlink"/>
            <w:lang w:val="es-ES"/>
          </w:rPr>
          <w:t>stephanie@stonejunction.co.uk</w:t>
        </w:r>
      </w:hyperlink>
      <w:r w:rsidRPr="005963C5">
        <w:rPr>
          <w:lang w:val="es-ES"/>
        </w:rPr>
        <w:t xml:space="preserve"> </w:t>
      </w:r>
    </w:p>
    <w:p w14:paraId="386FC9FE" w14:textId="77777777" w:rsidR="005963C5" w:rsidRPr="001F3E27" w:rsidRDefault="005963C5" w:rsidP="005963C5">
      <w:pPr>
        <w:rPr>
          <w:rFonts w:eastAsia="MS Mincho"/>
          <w:spacing w:val="-3"/>
          <w:lang w:val="nl-NL"/>
        </w:rPr>
      </w:pPr>
      <w:r w:rsidRPr="001F3E27">
        <w:rPr>
          <w:b/>
          <w:bCs/>
          <w:color w:val="4472C4"/>
          <w:lang w:val="nl-NL"/>
        </w:rPr>
        <w:t>www:</w:t>
      </w:r>
      <w:r w:rsidRPr="001F3E27">
        <w:rPr>
          <w:color w:val="00B050"/>
          <w:lang w:val="nl-NL"/>
        </w:rPr>
        <w:t xml:space="preserve"> </w:t>
      </w:r>
      <w:hyperlink r:id="rId18" w:history="1">
        <w:r w:rsidRPr="001F3E27">
          <w:rPr>
            <w:rStyle w:val="Hyperlink"/>
            <w:lang w:val="nl-NL"/>
          </w:rPr>
          <w:t>www.stonejunction.co.uk</w:t>
        </w:r>
      </w:hyperlink>
      <w:r w:rsidRPr="001F3E27">
        <w:rPr>
          <w:lang w:val="nl-NL"/>
        </w:rPr>
        <w:t xml:space="preserve">  </w:t>
      </w:r>
    </w:p>
    <w:p w14:paraId="33A4E539" w14:textId="77777777" w:rsidR="005963C5" w:rsidRPr="001F3E27" w:rsidRDefault="005963C5" w:rsidP="005963C5">
      <w:pPr>
        <w:rPr>
          <w:rFonts w:eastAsia="MS Mincho"/>
          <w:b/>
          <w:bCs/>
          <w:color w:val="CC0000"/>
          <w:spacing w:val="-3"/>
          <w:lang w:val="nl-NL"/>
        </w:rPr>
      </w:pPr>
      <w:r w:rsidRPr="001F3E27">
        <w:rPr>
          <w:b/>
          <w:bCs/>
          <w:color w:val="4472C4"/>
          <w:lang w:val="nl-NL"/>
        </w:rPr>
        <w:t>Blog:</w:t>
      </w:r>
      <w:r w:rsidRPr="001F3E27">
        <w:rPr>
          <w:b/>
          <w:bCs/>
          <w:color w:val="FF9933"/>
          <w:lang w:val="nl-NL"/>
        </w:rPr>
        <w:t xml:space="preserve"> </w:t>
      </w:r>
      <w:hyperlink r:id="rId19" w:history="1">
        <w:r w:rsidRPr="001F3E27">
          <w:rPr>
            <w:rStyle w:val="Hyperlink"/>
            <w:lang w:val="nl-NL"/>
          </w:rPr>
          <w:t>www.stone-junction.blogspot.com</w:t>
        </w:r>
      </w:hyperlink>
      <w:r w:rsidRPr="001F3E27">
        <w:rPr>
          <w:b/>
          <w:bCs/>
          <w:color w:val="CC0000"/>
          <w:lang w:val="nl-NL"/>
        </w:rPr>
        <w:t xml:space="preserve"> </w:t>
      </w:r>
    </w:p>
    <w:p w14:paraId="57FA8E47" w14:textId="77777777" w:rsidR="005963C5" w:rsidRPr="001F3E27" w:rsidRDefault="005963C5" w:rsidP="005963C5">
      <w:pPr>
        <w:rPr>
          <w:rFonts w:eastAsia="MS Mincho"/>
          <w:bCs/>
          <w:color w:val="002060"/>
          <w:spacing w:val="-3"/>
          <w:lang w:val="nl-NL"/>
        </w:rPr>
      </w:pPr>
      <w:r w:rsidRPr="001F3E27">
        <w:rPr>
          <w:b/>
          <w:bCs/>
          <w:color w:val="4472C4"/>
          <w:lang w:val="nl-NL"/>
        </w:rPr>
        <w:t>Twitter:</w:t>
      </w:r>
      <w:r w:rsidRPr="001F3E27">
        <w:rPr>
          <w:b/>
          <w:bCs/>
          <w:color w:val="00529C"/>
          <w:lang w:val="nl-NL"/>
        </w:rPr>
        <w:t xml:space="preserve"> </w:t>
      </w:r>
      <w:hyperlink r:id="rId20" w:history="1">
        <w:r w:rsidRPr="001F3E27">
          <w:rPr>
            <w:rStyle w:val="Hyperlink"/>
            <w:lang w:val="nl-NL"/>
          </w:rPr>
          <w:t>www.twitter.com/StoneJunctionPR</w:t>
        </w:r>
      </w:hyperlink>
    </w:p>
    <w:p w14:paraId="42311A13" w14:textId="77777777" w:rsidR="005963C5" w:rsidRPr="001F3E27" w:rsidRDefault="005963C5" w:rsidP="005963C5">
      <w:pPr>
        <w:rPr>
          <w:rFonts w:eastAsia="MS Mincho"/>
          <w:bCs/>
          <w:color w:val="002060"/>
          <w:spacing w:val="-3"/>
        </w:rPr>
      </w:pPr>
      <w:r w:rsidRPr="001F3E27">
        <w:rPr>
          <w:b/>
          <w:bCs/>
          <w:color w:val="4472C4"/>
        </w:rPr>
        <w:t>Facebook:</w:t>
      </w:r>
      <w:r w:rsidRPr="001F3E27">
        <w:rPr>
          <w:b/>
          <w:bCs/>
          <w:color w:val="00B050"/>
        </w:rPr>
        <w:t xml:space="preserve"> </w:t>
      </w:r>
      <w:hyperlink r:id="rId21" w:history="1">
        <w:r w:rsidRPr="001F3E27">
          <w:rPr>
            <w:rStyle w:val="Hyperlink"/>
          </w:rPr>
          <w:t>http://www.facebook.com/technicalPR</w:t>
        </w:r>
      </w:hyperlink>
    </w:p>
    <w:p w14:paraId="70C23466" w14:textId="77777777" w:rsidR="005963C5" w:rsidRPr="00D35E6D" w:rsidRDefault="005963C5" w:rsidP="005963C5">
      <w:pPr>
        <w:rPr>
          <w:rFonts w:eastAsia="MS Mincho"/>
          <w:b/>
          <w:bCs/>
          <w:color w:val="002060"/>
          <w:spacing w:val="-3"/>
          <w:lang w:val="de-DE"/>
        </w:rPr>
      </w:pPr>
      <w:r w:rsidRPr="00D35E6D">
        <w:rPr>
          <w:b/>
          <w:bCs/>
          <w:color w:val="4472C4"/>
          <w:lang w:val="de-DE"/>
        </w:rPr>
        <w:t>LinkedIn:</w:t>
      </w:r>
      <w:r w:rsidRPr="00D35E6D">
        <w:rPr>
          <w:color w:val="4472C4"/>
          <w:lang w:val="de-DE"/>
        </w:rPr>
        <w:t xml:space="preserve"> </w:t>
      </w:r>
      <w:hyperlink r:id="rId22" w:history="1">
        <w:r w:rsidRPr="00D35E6D">
          <w:rPr>
            <w:rStyle w:val="Hyperlink"/>
            <w:lang w:val="de-DE"/>
          </w:rPr>
          <w:t>https://www.linkedin.com/company/stone-junction-ltd</w:t>
        </w:r>
      </w:hyperlink>
    </w:p>
    <w:p w14:paraId="656123AA" w14:textId="77777777" w:rsidR="005963C5" w:rsidRPr="00D35E6D" w:rsidRDefault="005963C5" w:rsidP="005963C5">
      <w:pPr>
        <w:rPr>
          <w:rFonts w:eastAsia="MS Mincho"/>
          <w:b/>
          <w:bCs/>
          <w:color w:val="439639"/>
          <w:lang w:val="de-DE"/>
        </w:rPr>
      </w:pPr>
    </w:p>
    <w:p w14:paraId="5AA21F47" w14:textId="77777777" w:rsidR="005963C5" w:rsidRPr="005963C5" w:rsidRDefault="005963C5" w:rsidP="005963C5">
      <w:pPr>
        <w:pStyle w:val="NormalWeb"/>
        <w:jc w:val="both"/>
        <w:rPr>
          <w:rFonts w:ascii="Arial" w:hAnsi="Arial" w:cs="Arial"/>
          <w:lang w:val="es-ES"/>
        </w:rPr>
      </w:pPr>
      <w:r w:rsidRPr="005963C5">
        <w:rPr>
          <w:rFonts w:ascii="Arial" w:hAnsi="Arial"/>
          <w:b/>
          <w:bCs/>
          <w:color w:val="4472C4"/>
          <w:lang w:val="es-ES"/>
        </w:rPr>
        <w:t>Acerca de WEG</w:t>
      </w:r>
      <w:r w:rsidRPr="005963C5">
        <w:rPr>
          <w:rFonts w:ascii="Arial" w:hAnsi="Arial"/>
          <w:color w:val="2D2B2B"/>
          <w:shd w:val="clear" w:color="auto" w:fill="FFFFFF"/>
          <w:lang w:val="es-ES"/>
        </w:rPr>
        <w:t xml:space="preserve"> </w:t>
      </w:r>
      <w:r w:rsidRPr="005963C5">
        <w:rPr>
          <w:rFonts w:ascii="Arial" w:hAnsi="Arial"/>
          <w:lang w:val="es-ES"/>
        </w:rPr>
        <w:t>Fundada en 1961, WEG es un fabricante de equipos eléctricos y mecánicos para sectores industriales en todo el mundo. Con centros de fabricación en 12 países y presencia en más de 135 países, la empresa tiene más de 33.000 empleados de todo el mundo, con ingresos netos en 2020 de 3.330 millones de euros.</w:t>
      </w:r>
    </w:p>
    <w:p w14:paraId="1896BD90" w14:textId="77777777" w:rsidR="005963C5" w:rsidRPr="00D15985" w:rsidRDefault="005963C5" w:rsidP="005963C5">
      <w:pPr>
        <w:pStyle w:val="NormalWeb"/>
        <w:jc w:val="both"/>
        <w:rPr>
          <w:rFonts w:ascii="Arial" w:hAnsi="Arial" w:cs="Arial"/>
        </w:rPr>
      </w:pPr>
      <w:r w:rsidRPr="005963C5">
        <w:rPr>
          <w:rFonts w:ascii="Arial" w:hAnsi="Arial"/>
          <w:lang w:val="es-ES"/>
        </w:rPr>
        <w:t xml:space="preserve">Con una oferta de productos y sistemas de alto rendimiento para muy diversos sectores industriales, entre ellos, agua, acero, papel, petróleo y gas natural, y minería, WEG mantiene un constante desarrollo técnico para responder a las importantes exigencias de campos como el rendimiento energético, las energías renovables, la sostenibilidad y la movilidad eléctrica. </w:t>
      </w:r>
      <w:r w:rsidRPr="00D15985">
        <w:rPr>
          <w:rFonts w:ascii="Arial" w:hAnsi="Arial"/>
        </w:rPr>
        <w:t xml:space="preserve">Para </w:t>
      </w:r>
      <w:proofErr w:type="spellStart"/>
      <w:r>
        <w:rPr>
          <w:rFonts w:ascii="Arial" w:hAnsi="Arial"/>
        </w:rPr>
        <w:t>m</w:t>
      </w:r>
      <w:r w:rsidRPr="00B16ED1">
        <w:rPr>
          <w:rFonts w:ascii="Arial" w:hAnsi="Arial"/>
        </w:rPr>
        <w:t>á</w:t>
      </w:r>
      <w:r>
        <w:rPr>
          <w:rFonts w:ascii="Arial" w:hAnsi="Arial"/>
        </w:rPr>
        <w:t>s</w:t>
      </w:r>
      <w:proofErr w:type="spellEnd"/>
      <w:r w:rsidRPr="00D15985">
        <w:rPr>
          <w:rFonts w:ascii="Arial" w:hAnsi="Arial"/>
        </w:rPr>
        <w:t xml:space="preserve"> </w:t>
      </w:r>
      <w:proofErr w:type="spellStart"/>
      <w:r w:rsidRPr="00D15985">
        <w:rPr>
          <w:rFonts w:ascii="Arial" w:hAnsi="Arial"/>
        </w:rPr>
        <w:t>información</w:t>
      </w:r>
      <w:proofErr w:type="spellEnd"/>
      <w:r w:rsidRPr="00D15985">
        <w:rPr>
          <w:rFonts w:ascii="Arial" w:hAnsi="Arial"/>
        </w:rPr>
        <w:t xml:space="preserve">, </w:t>
      </w:r>
      <w:proofErr w:type="spellStart"/>
      <w:r w:rsidRPr="00D15985">
        <w:rPr>
          <w:rFonts w:ascii="Arial" w:hAnsi="Arial"/>
        </w:rPr>
        <w:t>visite</w:t>
      </w:r>
      <w:proofErr w:type="spellEnd"/>
      <w:r w:rsidRPr="00D15985">
        <w:rPr>
          <w:rFonts w:ascii="Arial" w:hAnsi="Arial"/>
        </w:rPr>
        <w:t xml:space="preserve"> </w:t>
      </w:r>
      <w:hyperlink r:id="rId23" w:history="1">
        <w:r w:rsidRPr="00D15985">
          <w:rPr>
            <w:rStyle w:val="Hyperlink"/>
            <w:rFonts w:ascii="Arial" w:hAnsi="Arial"/>
          </w:rPr>
          <w:t>www.weg.net</w:t>
        </w:r>
      </w:hyperlink>
      <w:r w:rsidRPr="00D15985">
        <w:rPr>
          <w:rFonts w:ascii="Arial" w:hAnsi="Arial"/>
        </w:rPr>
        <w:t>.</w:t>
      </w:r>
    </w:p>
    <w:p w14:paraId="3CB88E4E" w14:textId="77777777" w:rsidR="008A6A7A" w:rsidRPr="008B7C88" w:rsidRDefault="008A6A7A" w:rsidP="00E03D45">
      <w:pPr>
        <w:rPr>
          <w:rFonts w:cs="Arial"/>
          <w:bCs/>
        </w:rPr>
      </w:pPr>
    </w:p>
    <w:p w14:paraId="3CB88E4F" w14:textId="1A3FD2A0" w:rsidR="00E03D45" w:rsidRPr="008B7C88" w:rsidRDefault="00E03D45" w:rsidP="00E03D45">
      <w:pPr>
        <w:rPr>
          <w:rFonts w:eastAsia="MS Mincho" w:cs="Arial"/>
          <w:b/>
          <w:color w:val="CC3300"/>
          <w:spacing w:val="-3"/>
        </w:rPr>
      </w:pPr>
      <w:r w:rsidRPr="008B7C88">
        <w:rPr>
          <w:rFonts w:eastAsia="MS Mincho" w:cs="Arial"/>
          <w:b/>
          <w:bCs/>
          <w:color w:val="4472C4"/>
        </w:rPr>
        <w:t>Ref:</w:t>
      </w:r>
      <w:r w:rsidRPr="008B7C88">
        <w:rPr>
          <w:rFonts w:eastAsia="MS Mincho" w:cs="Arial"/>
          <w:spacing w:val="-3"/>
        </w:rPr>
        <w:t xml:space="preserve"> </w:t>
      </w:r>
      <w:r w:rsidR="008A6A7A" w:rsidRPr="008B7C88">
        <w:rPr>
          <w:rFonts w:eastAsia="MS Mincho" w:cs="Arial"/>
          <w:spacing w:val="-3"/>
        </w:rPr>
        <w:t>WEG</w:t>
      </w:r>
      <w:r w:rsidR="00A06F61">
        <w:rPr>
          <w:rFonts w:eastAsia="MS Mincho" w:cs="Arial"/>
          <w:spacing w:val="-3"/>
        </w:rPr>
        <w:t>918</w:t>
      </w:r>
      <w:r w:rsidRPr="008B7C88">
        <w:rPr>
          <w:rFonts w:eastAsia="MS Mincho" w:cs="Arial"/>
          <w:spacing w:val="-3"/>
        </w:rPr>
        <w:t>/</w:t>
      </w:r>
      <w:r w:rsidR="005963C5">
        <w:rPr>
          <w:rFonts w:eastAsia="MS Mincho" w:cs="Arial"/>
          <w:spacing w:val="-3"/>
        </w:rPr>
        <w:t>01</w:t>
      </w:r>
      <w:r w:rsidRPr="008B7C88">
        <w:rPr>
          <w:rFonts w:eastAsia="MS Mincho" w:cs="Arial"/>
          <w:spacing w:val="-3"/>
        </w:rPr>
        <w:t>/</w:t>
      </w:r>
      <w:r w:rsidR="00801271">
        <w:rPr>
          <w:rFonts w:eastAsia="MS Mincho" w:cs="Arial"/>
          <w:spacing w:val="-3"/>
        </w:rPr>
        <w:t>2</w:t>
      </w:r>
      <w:r w:rsidR="005963C5">
        <w:rPr>
          <w:rFonts w:eastAsia="MS Mincho" w:cs="Arial"/>
          <w:spacing w:val="-3"/>
        </w:rPr>
        <w:t>4</w:t>
      </w:r>
    </w:p>
    <w:p w14:paraId="3CB88E50" w14:textId="77777777" w:rsidR="00B86E1F" w:rsidRPr="008B7C88" w:rsidRDefault="00B86E1F" w:rsidP="00E03D45">
      <w:pPr>
        <w:rPr>
          <w:rFonts w:eastAsia="MS Mincho" w:cs="Arial"/>
          <w:b/>
          <w:color w:val="CC3300"/>
          <w:spacing w:val="-3"/>
        </w:rPr>
      </w:pPr>
    </w:p>
    <w:sectPr w:rsidR="00B86E1F" w:rsidRPr="008B7C88"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B28A5" w14:textId="77777777" w:rsidR="00EF0F37" w:rsidRDefault="00EF0F37" w:rsidP="00C0175F">
      <w:r>
        <w:separator/>
      </w:r>
    </w:p>
  </w:endnote>
  <w:endnote w:type="continuationSeparator" w:id="0">
    <w:p w14:paraId="183F9FBA" w14:textId="77777777" w:rsidR="00EF0F37" w:rsidRDefault="00EF0F3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ADFE1" w14:textId="77777777" w:rsidR="00EF0F37" w:rsidRDefault="00EF0F37" w:rsidP="00C0175F">
      <w:r>
        <w:separator/>
      </w:r>
    </w:p>
  </w:footnote>
  <w:footnote w:type="continuationSeparator" w:id="0">
    <w:p w14:paraId="2B7256B1" w14:textId="77777777" w:rsidR="00EF0F37" w:rsidRDefault="00EF0F3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88E5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5FF1"/>
    <w:rsid w:val="00012707"/>
    <w:rsid w:val="000245BC"/>
    <w:rsid w:val="00027D32"/>
    <w:rsid w:val="00045BF8"/>
    <w:rsid w:val="0005012E"/>
    <w:rsid w:val="000B7E0B"/>
    <w:rsid w:val="000C2851"/>
    <w:rsid w:val="000D6C36"/>
    <w:rsid w:val="000E1B39"/>
    <w:rsid w:val="000F78F9"/>
    <w:rsid w:val="0010339A"/>
    <w:rsid w:val="00155C9B"/>
    <w:rsid w:val="00165FE6"/>
    <w:rsid w:val="001749B1"/>
    <w:rsid w:val="00191676"/>
    <w:rsid w:val="001B2D8F"/>
    <w:rsid w:val="001C062A"/>
    <w:rsid w:val="001C49D1"/>
    <w:rsid w:val="001C4B73"/>
    <w:rsid w:val="001C5C6E"/>
    <w:rsid w:val="001D6804"/>
    <w:rsid w:val="002729EE"/>
    <w:rsid w:val="002A1459"/>
    <w:rsid w:val="002A4040"/>
    <w:rsid w:val="002B2F32"/>
    <w:rsid w:val="002B5A47"/>
    <w:rsid w:val="002E58A3"/>
    <w:rsid w:val="003002E4"/>
    <w:rsid w:val="0030281F"/>
    <w:rsid w:val="00302AA3"/>
    <w:rsid w:val="003056A3"/>
    <w:rsid w:val="00344857"/>
    <w:rsid w:val="00351818"/>
    <w:rsid w:val="003646FD"/>
    <w:rsid w:val="003663E7"/>
    <w:rsid w:val="003708FC"/>
    <w:rsid w:val="00382C38"/>
    <w:rsid w:val="00382EA0"/>
    <w:rsid w:val="00387BB5"/>
    <w:rsid w:val="00396D46"/>
    <w:rsid w:val="003A33DB"/>
    <w:rsid w:val="003A7BBA"/>
    <w:rsid w:val="003E5474"/>
    <w:rsid w:val="004046B9"/>
    <w:rsid w:val="00415E13"/>
    <w:rsid w:val="004225DF"/>
    <w:rsid w:val="00423B09"/>
    <w:rsid w:val="004575C4"/>
    <w:rsid w:val="00463485"/>
    <w:rsid w:val="00483E51"/>
    <w:rsid w:val="00492E4F"/>
    <w:rsid w:val="004948DB"/>
    <w:rsid w:val="004A2AA0"/>
    <w:rsid w:val="004D1123"/>
    <w:rsid w:val="004E1628"/>
    <w:rsid w:val="004F1A07"/>
    <w:rsid w:val="00500E9F"/>
    <w:rsid w:val="005076D1"/>
    <w:rsid w:val="00514185"/>
    <w:rsid w:val="005172EA"/>
    <w:rsid w:val="00522573"/>
    <w:rsid w:val="00524B55"/>
    <w:rsid w:val="00533397"/>
    <w:rsid w:val="00551987"/>
    <w:rsid w:val="00567A68"/>
    <w:rsid w:val="00575480"/>
    <w:rsid w:val="00580101"/>
    <w:rsid w:val="005963C5"/>
    <w:rsid w:val="005973B5"/>
    <w:rsid w:val="005B111B"/>
    <w:rsid w:val="005C0C60"/>
    <w:rsid w:val="005C34EA"/>
    <w:rsid w:val="005C3A2D"/>
    <w:rsid w:val="005C3DF8"/>
    <w:rsid w:val="005C72BE"/>
    <w:rsid w:val="005F0A68"/>
    <w:rsid w:val="005F64D6"/>
    <w:rsid w:val="0061053B"/>
    <w:rsid w:val="006154AA"/>
    <w:rsid w:val="006320A8"/>
    <w:rsid w:val="0064285E"/>
    <w:rsid w:val="00685357"/>
    <w:rsid w:val="00685A84"/>
    <w:rsid w:val="00687C41"/>
    <w:rsid w:val="006A1D50"/>
    <w:rsid w:val="006B7A4C"/>
    <w:rsid w:val="006C5423"/>
    <w:rsid w:val="006D0EBA"/>
    <w:rsid w:val="00726E08"/>
    <w:rsid w:val="00737F3E"/>
    <w:rsid w:val="00757760"/>
    <w:rsid w:val="00763095"/>
    <w:rsid w:val="00790A19"/>
    <w:rsid w:val="007A56B1"/>
    <w:rsid w:val="007B2663"/>
    <w:rsid w:val="007E5B66"/>
    <w:rsid w:val="007F3F1C"/>
    <w:rsid w:val="00801271"/>
    <w:rsid w:val="0081278B"/>
    <w:rsid w:val="00813D87"/>
    <w:rsid w:val="0081437B"/>
    <w:rsid w:val="00857350"/>
    <w:rsid w:val="008575DB"/>
    <w:rsid w:val="00885086"/>
    <w:rsid w:val="008A6A7A"/>
    <w:rsid w:val="008B7C88"/>
    <w:rsid w:val="008D63D5"/>
    <w:rsid w:val="00902A1F"/>
    <w:rsid w:val="00910E33"/>
    <w:rsid w:val="00916214"/>
    <w:rsid w:val="009213B5"/>
    <w:rsid w:val="00924FCE"/>
    <w:rsid w:val="009250CF"/>
    <w:rsid w:val="009701B9"/>
    <w:rsid w:val="00981A09"/>
    <w:rsid w:val="009D7744"/>
    <w:rsid w:val="009E5238"/>
    <w:rsid w:val="00A06F61"/>
    <w:rsid w:val="00A2186B"/>
    <w:rsid w:val="00A33F1E"/>
    <w:rsid w:val="00A67985"/>
    <w:rsid w:val="00A80B85"/>
    <w:rsid w:val="00A832B5"/>
    <w:rsid w:val="00A8496E"/>
    <w:rsid w:val="00A97965"/>
    <w:rsid w:val="00B02318"/>
    <w:rsid w:val="00B04F8D"/>
    <w:rsid w:val="00B14D96"/>
    <w:rsid w:val="00B1798B"/>
    <w:rsid w:val="00B258B4"/>
    <w:rsid w:val="00B8312E"/>
    <w:rsid w:val="00B86129"/>
    <w:rsid w:val="00B86E1F"/>
    <w:rsid w:val="00B900D7"/>
    <w:rsid w:val="00BA46F8"/>
    <w:rsid w:val="00BD0366"/>
    <w:rsid w:val="00BD1859"/>
    <w:rsid w:val="00BE1629"/>
    <w:rsid w:val="00C00639"/>
    <w:rsid w:val="00C0175F"/>
    <w:rsid w:val="00C03BA0"/>
    <w:rsid w:val="00C07DAB"/>
    <w:rsid w:val="00C20A04"/>
    <w:rsid w:val="00C36A1D"/>
    <w:rsid w:val="00C53825"/>
    <w:rsid w:val="00C5662A"/>
    <w:rsid w:val="00C94AB3"/>
    <w:rsid w:val="00C94B4E"/>
    <w:rsid w:val="00CA0066"/>
    <w:rsid w:val="00CA611D"/>
    <w:rsid w:val="00CB26E7"/>
    <w:rsid w:val="00CB5356"/>
    <w:rsid w:val="00CC784C"/>
    <w:rsid w:val="00CF666D"/>
    <w:rsid w:val="00D07BB2"/>
    <w:rsid w:val="00D151AE"/>
    <w:rsid w:val="00D17D12"/>
    <w:rsid w:val="00D52945"/>
    <w:rsid w:val="00D57F17"/>
    <w:rsid w:val="00D80086"/>
    <w:rsid w:val="00D84B54"/>
    <w:rsid w:val="00D868AC"/>
    <w:rsid w:val="00D951A4"/>
    <w:rsid w:val="00DB3705"/>
    <w:rsid w:val="00DB57D6"/>
    <w:rsid w:val="00DB75D6"/>
    <w:rsid w:val="00DE1B48"/>
    <w:rsid w:val="00DE3409"/>
    <w:rsid w:val="00E008B8"/>
    <w:rsid w:val="00E03D45"/>
    <w:rsid w:val="00E10654"/>
    <w:rsid w:val="00E14628"/>
    <w:rsid w:val="00E16BBC"/>
    <w:rsid w:val="00E23DAC"/>
    <w:rsid w:val="00E27D97"/>
    <w:rsid w:val="00E446BB"/>
    <w:rsid w:val="00E527AD"/>
    <w:rsid w:val="00E63866"/>
    <w:rsid w:val="00E6457E"/>
    <w:rsid w:val="00E70F9A"/>
    <w:rsid w:val="00E8641C"/>
    <w:rsid w:val="00EB1D2A"/>
    <w:rsid w:val="00EB2DE2"/>
    <w:rsid w:val="00EB4C49"/>
    <w:rsid w:val="00EE04DD"/>
    <w:rsid w:val="00EF0F37"/>
    <w:rsid w:val="00F24E50"/>
    <w:rsid w:val="00F603CF"/>
    <w:rsid w:val="00F65F0B"/>
    <w:rsid w:val="00F668D0"/>
    <w:rsid w:val="00FA03F5"/>
    <w:rsid w:val="00FC33CB"/>
    <w:rsid w:val="00FC3CEC"/>
    <w:rsid w:val="00FF18BF"/>
    <w:rsid w:val="00FF3A16"/>
    <w:rsid w:val="00FF634B"/>
    <w:rsid w:val="08139B97"/>
    <w:rsid w:val="202BF82F"/>
    <w:rsid w:val="270C2747"/>
    <w:rsid w:val="419911EC"/>
    <w:rsid w:val="41E54D9A"/>
    <w:rsid w:val="473F301F"/>
    <w:rsid w:val="57DEDD20"/>
    <w:rsid w:val="6BBE4130"/>
    <w:rsid w:val="6CFF2F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B88E1F"/>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70730241">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21222755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settings" Target="settings.xml"/><Relationship Id="rId12" Type="http://schemas.openxmlformats.org/officeDocument/2006/relationships/hyperlink" Target="https://bit.ly/3S3rnum"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jmorena@weg.net" TargetMode="External"/><Relationship Id="rId23"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www.stone-junction.blogspot.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D0AF266A-B8F1-48BC-91E2-7B9F2B1A60B3}"/>
</file>

<file path=customXml/itemProps3.xml><?xml version="1.0" encoding="utf-8"?>
<ds:datastoreItem xmlns:ds="http://schemas.openxmlformats.org/officeDocument/2006/customXml" ds:itemID="{DF6E972C-5F4D-49C0-859C-B9C02326A427}">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890AB184-92DB-4F47-8EC1-F1612DA7A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936</Words>
  <Characters>5340</Characters>
  <Application>Microsoft Office Word</Application>
  <DocSecurity>0</DocSecurity>
  <Lines>44</Lines>
  <Paragraphs>12</Paragraphs>
  <ScaleCrop>false</ScaleCrop>
  <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7</cp:revision>
  <cp:lastPrinted>2013-11-27T21:43:00Z</cp:lastPrinted>
  <dcterms:created xsi:type="dcterms:W3CDTF">2023-12-08T14:14:00Z</dcterms:created>
  <dcterms:modified xsi:type="dcterms:W3CDTF">2024-01-04T14:56:00Z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