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88E1F" w14:textId="77777777" w:rsidR="00B86E1F" w:rsidRPr="00533E1B" w:rsidRDefault="000B7E0B" w:rsidP="005076D1">
      <w:pPr>
        <w:pStyle w:val="BodyCopy"/>
        <w:jc w:val="left"/>
        <w:rPr>
          <w:rFonts w:eastAsia="MS Mincho" w:cs="Arial"/>
        </w:rPr>
      </w:pPr>
      <w:r w:rsidRPr="00533E1B">
        <w:rPr>
          <w:rFonts w:eastAsia="MS Mincho" w:cs="Arial"/>
          <w:noProof/>
        </w:rPr>
        <w:drawing>
          <wp:inline distT="0" distB="0" distL="0" distR="0" wp14:anchorId="3CB88E51" wp14:editId="4C37037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3CB88E20" w14:textId="77777777" w:rsidR="00FA03F5" w:rsidRPr="00533E1B" w:rsidRDefault="00FA03F5" w:rsidP="006154AA">
      <w:pPr>
        <w:pStyle w:val="Heading1"/>
        <w:spacing w:line="360" w:lineRule="auto"/>
        <w:rPr>
          <w:rFonts w:ascii="Arial" w:hAnsi="Arial" w:cs="Arial"/>
          <w:sz w:val="24"/>
          <w:szCs w:val="24"/>
          <w:lang w:val="en-GB"/>
        </w:rPr>
      </w:pPr>
    </w:p>
    <w:p w14:paraId="0B7AC307" w14:textId="77777777" w:rsidR="005C34EA" w:rsidRPr="00CB1C87" w:rsidRDefault="005C34EA" w:rsidP="00533E1B">
      <w:pPr>
        <w:spacing w:line="480" w:lineRule="auto"/>
        <w:jc w:val="center"/>
        <w:rPr>
          <w:rFonts w:cs="Arial"/>
          <w:b/>
          <w:sz w:val="32"/>
          <w:szCs w:val="32"/>
          <w:lang w:val="nl-NL"/>
        </w:rPr>
      </w:pPr>
      <w:r w:rsidRPr="00CB1C87">
        <w:rPr>
          <w:rFonts w:cs="Arial"/>
          <w:b/>
          <w:sz w:val="32"/>
          <w:szCs w:val="32"/>
          <w:lang w:val="nl-NL"/>
        </w:rPr>
        <w:t>WEG kondigt nieuwe ADV200-SP voor zonnepompen aan</w:t>
      </w:r>
    </w:p>
    <w:p w14:paraId="7F989BE3" w14:textId="0F758E15" w:rsidR="005C34EA" w:rsidRPr="00772F8D" w:rsidRDefault="005C34EA" w:rsidP="00533E1B">
      <w:pPr>
        <w:spacing w:line="480" w:lineRule="auto"/>
        <w:jc w:val="center"/>
        <w:rPr>
          <w:rFonts w:cs="Arial"/>
          <w:b/>
          <w:lang w:val="nl-NL"/>
        </w:rPr>
      </w:pPr>
      <w:r w:rsidRPr="00772F8D">
        <w:rPr>
          <w:rFonts w:cs="Arial"/>
          <w:b/>
          <w:lang w:val="nl-NL"/>
        </w:rPr>
        <w:t xml:space="preserve">~ Nieuwe </w:t>
      </w:r>
      <w:r w:rsidR="00533E1B" w:rsidRPr="00772F8D">
        <w:rPr>
          <w:rFonts w:cs="Arial"/>
          <w:b/>
          <w:lang w:val="nl-NL"/>
        </w:rPr>
        <w:t xml:space="preserve">regelaar </w:t>
      </w:r>
      <w:r w:rsidRPr="00772F8D">
        <w:rPr>
          <w:rFonts w:cs="Arial"/>
          <w:b/>
          <w:lang w:val="nl-NL"/>
        </w:rPr>
        <w:t>is ontworpen om pomptoepassingen op zonne-energie te optimaliseren ~</w:t>
      </w:r>
    </w:p>
    <w:p w14:paraId="1CA14416" w14:textId="77777777" w:rsidR="005C34EA" w:rsidRPr="00533E1B" w:rsidRDefault="005C34EA" w:rsidP="005C34EA">
      <w:pPr>
        <w:spacing w:line="480" w:lineRule="auto"/>
        <w:jc w:val="both"/>
        <w:rPr>
          <w:rFonts w:cs="Arial"/>
          <w:b/>
          <w:lang w:val="nl-NL"/>
        </w:rPr>
      </w:pPr>
    </w:p>
    <w:p w14:paraId="71BDB3C4" w14:textId="31FB9C5B" w:rsidR="005C34EA" w:rsidRPr="00533E1B" w:rsidRDefault="00666925" w:rsidP="005C34EA">
      <w:pPr>
        <w:spacing w:line="480" w:lineRule="auto"/>
        <w:jc w:val="both"/>
        <w:rPr>
          <w:rFonts w:cs="Arial"/>
          <w:b/>
          <w:lang w:val="nl-NL"/>
        </w:rPr>
      </w:pPr>
      <w:hyperlink r:id="rId12" w:history="1">
        <w:r w:rsidRPr="00666925">
          <w:rPr>
            <w:rStyle w:val="Hyperlink"/>
            <w:rFonts w:cs="Arial"/>
            <w:b/>
            <w:lang w:val="nl-NL"/>
          </w:rPr>
          <w:t>WEG,</w:t>
        </w:r>
      </w:hyperlink>
      <w:r w:rsidR="005C34EA" w:rsidRPr="00533E1B">
        <w:rPr>
          <w:rFonts w:cs="Arial"/>
          <w:b/>
          <w:lang w:val="nl-NL"/>
        </w:rPr>
        <w:t xml:space="preserve"> de toonaangevende leverancier van motoren </w:t>
      </w:r>
      <w:proofErr w:type="gramStart"/>
      <w:r w:rsidR="005C34EA" w:rsidRPr="00533E1B">
        <w:rPr>
          <w:rFonts w:cs="Arial"/>
          <w:b/>
          <w:lang w:val="nl-NL"/>
        </w:rPr>
        <w:t xml:space="preserve">en </w:t>
      </w:r>
      <w:r w:rsidR="00533E1B">
        <w:rPr>
          <w:rFonts w:cs="Arial"/>
          <w:b/>
          <w:lang w:val="nl-NL"/>
        </w:rPr>
        <w:t xml:space="preserve"> drives</w:t>
      </w:r>
      <w:proofErr w:type="gramEnd"/>
      <w:r w:rsidR="005C34EA" w:rsidRPr="00533E1B">
        <w:rPr>
          <w:rFonts w:cs="Arial"/>
          <w:b/>
          <w:lang w:val="nl-NL"/>
        </w:rPr>
        <w:t>, heeft de lancering aangekondigd van de nieuwe ADV200-SP frequentieregelaar voor pomptoepassingen op zonne-energie. Deze geavanceerde frequentieregelaar is speciaal ontworpen voor geïsoleerde of hybride waterpompsystemen op zonne-energie en brengt een nieuw niveau van efficiëntie en duurzaamheid naar de agrarische en industriële sectoren.</w:t>
      </w:r>
    </w:p>
    <w:p w14:paraId="15A653C0" w14:textId="77777777" w:rsidR="005C34EA" w:rsidRPr="00533E1B" w:rsidRDefault="005C34EA" w:rsidP="005C34EA">
      <w:pPr>
        <w:spacing w:line="480" w:lineRule="auto"/>
        <w:jc w:val="both"/>
        <w:rPr>
          <w:rFonts w:cs="Arial"/>
          <w:b/>
          <w:lang w:val="nl-NL"/>
        </w:rPr>
      </w:pPr>
    </w:p>
    <w:p w14:paraId="28E7B5CF" w14:textId="3454977F" w:rsidR="005C34EA" w:rsidRPr="00FD6B0E" w:rsidRDefault="005C34EA" w:rsidP="005C34EA">
      <w:pPr>
        <w:spacing w:line="480" w:lineRule="auto"/>
        <w:jc w:val="both"/>
        <w:rPr>
          <w:rFonts w:cs="Arial"/>
          <w:bCs/>
          <w:lang w:val="nl-NL"/>
        </w:rPr>
      </w:pPr>
      <w:r w:rsidRPr="00FD6B0E">
        <w:rPr>
          <w:rFonts w:cs="Arial"/>
          <w:bCs/>
          <w:lang w:val="nl-NL"/>
        </w:rPr>
        <w:t xml:space="preserve">De ADV200-SP is één van </w:t>
      </w:r>
      <w:proofErr w:type="spellStart"/>
      <w:r w:rsidRPr="00FD6B0E">
        <w:rPr>
          <w:rFonts w:cs="Arial"/>
          <w:bCs/>
          <w:lang w:val="nl-NL"/>
        </w:rPr>
        <w:t>WEG's</w:t>
      </w:r>
      <w:proofErr w:type="spellEnd"/>
      <w:r w:rsidRPr="00FD6B0E">
        <w:rPr>
          <w:rFonts w:cs="Arial"/>
          <w:bCs/>
          <w:lang w:val="nl-NL"/>
        </w:rPr>
        <w:t xml:space="preserve"> nieuwste </w:t>
      </w:r>
      <w:r w:rsidR="00533E1B">
        <w:rPr>
          <w:rFonts w:cs="Arial"/>
          <w:bCs/>
          <w:lang w:val="nl-NL"/>
        </w:rPr>
        <w:t>frequentieregelaars</w:t>
      </w:r>
      <w:r w:rsidRPr="00FD6B0E">
        <w:rPr>
          <w:rFonts w:cs="Arial"/>
          <w:bCs/>
          <w:lang w:val="nl-NL"/>
        </w:rPr>
        <w:t xml:space="preserve">. De nieuwe aandrijving is ontwikkeld met behulp van </w:t>
      </w:r>
      <w:proofErr w:type="spellStart"/>
      <w:r w:rsidRPr="00FD6B0E">
        <w:rPr>
          <w:rFonts w:cs="Arial"/>
          <w:bCs/>
          <w:lang w:val="nl-NL"/>
        </w:rPr>
        <w:t>WEG's</w:t>
      </w:r>
      <w:proofErr w:type="spellEnd"/>
      <w:r w:rsidRPr="00FD6B0E">
        <w:rPr>
          <w:rFonts w:cs="Arial"/>
          <w:bCs/>
          <w:lang w:val="nl-NL"/>
        </w:rPr>
        <w:t xml:space="preserve"> expertise in industriële aandrijftechnologie en combineert de mogelijkheden van de bestaande ADV200 omvormer met </w:t>
      </w:r>
      <w:proofErr w:type="spellStart"/>
      <w:r w:rsidRPr="00FD6B0E">
        <w:rPr>
          <w:rFonts w:cs="Arial"/>
          <w:bCs/>
          <w:lang w:val="nl-NL"/>
        </w:rPr>
        <w:t>WEG's</w:t>
      </w:r>
      <w:proofErr w:type="spellEnd"/>
      <w:r w:rsidRPr="00FD6B0E">
        <w:rPr>
          <w:rFonts w:cs="Arial"/>
          <w:bCs/>
          <w:lang w:val="nl-NL"/>
        </w:rPr>
        <w:t xml:space="preserve"> uitgebreide ervaring in zonne-energie en pomptoepassingen via fotovoltaïsche (PV) panelen. De </w:t>
      </w:r>
      <w:r w:rsidR="000B6365">
        <w:rPr>
          <w:rFonts w:cs="Arial"/>
          <w:bCs/>
          <w:lang w:val="nl-NL"/>
        </w:rPr>
        <w:t>regelaar</w:t>
      </w:r>
      <w:r w:rsidR="000B6365" w:rsidRPr="00FD6B0E">
        <w:rPr>
          <w:rFonts w:cs="Arial"/>
          <w:bCs/>
          <w:lang w:val="nl-NL"/>
        </w:rPr>
        <w:t xml:space="preserve"> </w:t>
      </w:r>
      <w:r w:rsidRPr="00FD6B0E">
        <w:rPr>
          <w:rFonts w:cs="Arial"/>
          <w:bCs/>
          <w:lang w:val="nl-NL"/>
        </w:rPr>
        <w:t xml:space="preserve">zet de elektrische energie van het PV-paneel om in mechanische energie die door de pomp wordt omgezet in hydraulische energie. </w:t>
      </w:r>
    </w:p>
    <w:p w14:paraId="5C367D7F" w14:textId="77777777" w:rsidR="005C34EA" w:rsidRPr="00FD6B0E" w:rsidRDefault="005C34EA" w:rsidP="005C34EA">
      <w:pPr>
        <w:spacing w:line="480" w:lineRule="auto"/>
        <w:jc w:val="both"/>
        <w:rPr>
          <w:rFonts w:cs="Arial"/>
          <w:bCs/>
          <w:lang w:val="nl-NL"/>
        </w:rPr>
      </w:pPr>
    </w:p>
    <w:p w14:paraId="31794CED" w14:textId="64B94CFD" w:rsidR="005C34EA" w:rsidRPr="00FD6B0E" w:rsidRDefault="005C34EA" w:rsidP="005C34EA">
      <w:pPr>
        <w:spacing w:line="480" w:lineRule="auto"/>
        <w:jc w:val="both"/>
        <w:rPr>
          <w:rFonts w:cs="Arial"/>
          <w:bCs/>
          <w:lang w:val="nl-NL"/>
        </w:rPr>
      </w:pPr>
      <w:r w:rsidRPr="00FD6B0E">
        <w:rPr>
          <w:rFonts w:cs="Arial"/>
          <w:bCs/>
          <w:lang w:val="nl-NL"/>
        </w:rPr>
        <w:lastRenderedPageBreak/>
        <w:t>Door gebruik te maken van de synergie tussen de omvormers en de zonne-energietechnologie, heeft WEG ook een baanbrekende softwaretoepassing ontwikkeld die de werking van zonnepompsystemen optimaliseert en daarmee een nieuwe industrie</w:t>
      </w:r>
      <w:r w:rsidR="0010765B">
        <w:rPr>
          <w:rFonts w:cs="Arial"/>
          <w:bCs/>
          <w:lang w:val="nl-NL"/>
        </w:rPr>
        <w:t>norm</w:t>
      </w:r>
      <w:r w:rsidRPr="00FD6B0E">
        <w:rPr>
          <w:rFonts w:cs="Arial"/>
          <w:bCs/>
          <w:lang w:val="nl-NL"/>
        </w:rPr>
        <w:t xml:space="preserve"> </w:t>
      </w:r>
      <w:proofErr w:type="gramStart"/>
      <w:r w:rsidR="0010765B">
        <w:rPr>
          <w:rFonts w:cs="Arial"/>
          <w:bCs/>
          <w:lang w:val="nl-NL"/>
        </w:rPr>
        <w:t xml:space="preserve">creëert </w:t>
      </w:r>
      <w:r w:rsidRPr="00FD6B0E">
        <w:rPr>
          <w:rFonts w:cs="Arial"/>
          <w:bCs/>
          <w:lang w:val="nl-NL"/>
        </w:rPr>
        <w:t>.</w:t>
      </w:r>
      <w:proofErr w:type="gramEnd"/>
    </w:p>
    <w:p w14:paraId="1588E722" w14:textId="77777777" w:rsidR="005C34EA" w:rsidRPr="00FD6B0E" w:rsidRDefault="005C34EA" w:rsidP="005C34EA">
      <w:pPr>
        <w:spacing w:line="480" w:lineRule="auto"/>
        <w:jc w:val="both"/>
        <w:rPr>
          <w:rFonts w:cs="Arial"/>
          <w:bCs/>
          <w:lang w:val="nl-NL"/>
        </w:rPr>
      </w:pPr>
    </w:p>
    <w:p w14:paraId="4017BE52" w14:textId="2080683F" w:rsidR="005C34EA" w:rsidRPr="00FD6B0E" w:rsidRDefault="005C34EA" w:rsidP="005C34EA">
      <w:pPr>
        <w:spacing w:line="480" w:lineRule="auto"/>
        <w:jc w:val="both"/>
        <w:rPr>
          <w:rFonts w:cs="Arial"/>
          <w:bCs/>
          <w:lang w:val="nl-NL"/>
        </w:rPr>
      </w:pPr>
      <w:r w:rsidRPr="00FD6B0E">
        <w:rPr>
          <w:rFonts w:cs="Arial"/>
          <w:bCs/>
          <w:lang w:val="nl-NL"/>
        </w:rPr>
        <w:t xml:space="preserve">De kern van deze innovatie is het MPPT dynamische zoekalgoritme, ontwikkeld door WEG ingenieurs. Dit algoritme zorgt ervoor dat de ADV200-SP </w:t>
      </w:r>
      <w:r w:rsidR="00BF3CCF">
        <w:rPr>
          <w:rFonts w:cs="Arial"/>
          <w:bCs/>
          <w:lang w:val="nl-NL"/>
        </w:rPr>
        <w:t>regelaar</w:t>
      </w:r>
      <w:r w:rsidR="00BF3CCF" w:rsidRPr="00FD6B0E">
        <w:rPr>
          <w:rFonts w:cs="Arial"/>
          <w:bCs/>
          <w:lang w:val="nl-NL"/>
        </w:rPr>
        <w:t xml:space="preserve"> </w:t>
      </w:r>
      <w:r w:rsidRPr="00FD6B0E">
        <w:rPr>
          <w:rFonts w:cs="Arial"/>
          <w:bCs/>
          <w:lang w:val="nl-NL"/>
        </w:rPr>
        <w:t xml:space="preserve">zich continu aanpast aan wisselende straling en temperatuur, waardoor de systeembelasting wordt gemaximaliseerd bij maximaal uitgangsvermogen. Dit aanpassingsvermogen is een </w:t>
      </w:r>
      <w:proofErr w:type="spellStart"/>
      <w:r w:rsidRPr="00FD6B0E">
        <w:rPr>
          <w:rFonts w:cs="Arial"/>
          <w:bCs/>
          <w:lang w:val="nl-NL"/>
        </w:rPr>
        <w:t>game-changer</w:t>
      </w:r>
      <w:proofErr w:type="spellEnd"/>
      <w:r w:rsidRPr="00FD6B0E">
        <w:rPr>
          <w:rFonts w:cs="Arial"/>
          <w:bCs/>
          <w:lang w:val="nl-NL"/>
        </w:rPr>
        <w:t xml:space="preserve"> en zorgt voor een grotere efficiëntie en betere prestaties onder real-</w:t>
      </w:r>
      <w:proofErr w:type="spellStart"/>
      <w:r w:rsidRPr="00FD6B0E">
        <w:rPr>
          <w:rFonts w:cs="Arial"/>
          <w:bCs/>
          <w:lang w:val="nl-NL"/>
        </w:rPr>
        <w:t>world</w:t>
      </w:r>
      <w:proofErr w:type="spellEnd"/>
      <w:r w:rsidRPr="00FD6B0E">
        <w:rPr>
          <w:rFonts w:cs="Arial"/>
          <w:bCs/>
          <w:lang w:val="nl-NL"/>
        </w:rPr>
        <w:t xml:space="preserve"> omstandigheden.</w:t>
      </w:r>
    </w:p>
    <w:p w14:paraId="69ED27C1" w14:textId="77777777" w:rsidR="005C34EA" w:rsidRPr="00FD6B0E" w:rsidRDefault="005C34EA" w:rsidP="005C34EA">
      <w:pPr>
        <w:spacing w:line="480" w:lineRule="auto"/>
        <w:jc w:val="both"/>
        <w:rPr>
          <w:rFonts w:cs="Arial"/>
          <w:bCs/>
          <w:lang w:val="nl-NL"/>
        </w:rPr>
      </w:pPr>
    </w:p>
    <w:p w14:paraId="3993FEAD" w14:textId="1F701261" w:rsidR="005C34EA" w:rsidRPr="00FD6B0E" w:rsidRDefault="005C34EA" w:rsidP="005C34EA">
      <w:pPr>
        <w:spacing w:line="480" w:lineRule="auto"/>
        <w:jc w:val="both"/>
        <w:rPr>
          <w:rFonts w:cs="Arial"/>
          <w:bCs/>
          <w:lang w:val="nl-NL"/>
        </w:rPr>
      </w:pPr>
      <w:r w:rsidRPr="00FD6B0E">
        <w:rPr>
          <w:rFonts w:cs="Arial"/>
          <w:bCs/>
          <w:lang w:val="nl-NL"/>
        </w:rPr>
        <w:t xml:space="preserve">Een van de opvallendste kenmerken van de ADV200-SP aandrijving is zijn veelzijdigheid in de aanpassing aan verschillende fabrieksconfiguraties. De aandrijving is naadloos geschikt voor geïsoleerde systemen met één enkele zonne-energiebron, dubbele systemen met afwisselend zonne-energie en secundaire wisselstroombronnen en hybride opstellingen die ook beide bronnen kunnen bevatten. Een speciale </w:t>
      </w:r>
      <w:proofErr w:type="spellStart"/>
      <w:r w:rsidRPr="00FD6B0E">
        <w:rPr>
          <w:rFonts w:cs="Arial"/>
          <w:bCs/>
          <w:lang w:val="nl-NL"/>
        </w:rPr>
        <w:t>bronmanagerfunctie</w:t>
      </w:r>
      <w:proofErr w:type="spellEnd"/>
      <w:r w:rsidRPr="00FD6B0E">
        <w:rPr>
          <w:rFonts w:cs="Arial"/>
          <w:bCs/>
          <w:lang w:val="nl-NL"/>
        </w:rPr>
        <w:t xml:space="preserve"> die in de aandrijving is geïntegreerd, vereenvoudigt het beheer van systemen met twee bronnen en zorgt voor een soepele overgang van de ene bron naar de andere, terwijl prioriteit wordt gegeven aan het gebruik van gratis zonne-energie om de irrigatiecontinuïteit te </w:t>
      </w:r>
      <w:proofErr w:type="spellStart"/>
      <w:proofErr w:type="gramStart"/>
      <w:r w:rsidRPr="00FD6B0E">
        <w:rPr>
          <w:rFonts w:cs="Arial"/>
          <w:bCs/>
          <w:lang w:val="nl-NL"/>
        </w:rPr>
        <w:t>handhaven</w:t>
      </w:r>
      <w:r w:rsidR="00FD6B0E">
        <w:rPr>
          <w:rFonts w:cs="Arial"/>
          <w:bCs/>
          <w:lang w:val="nl-NL"/>
        </w:rPr>
        <w:t>.</w:t>
      </w:r>
      <w:r w:rsidRPr="00FD6B0E">
        <w:rPr>
          <w:rFonts w:cs="Arial"/>
          <w:bCs/>
          <w:lang w:val="nl-NL"/>
        </w:rPr>
        <w:t>De</w:t>
      </w:r>
      <w:proofErr w:type="spellEnd"/>
      <w:proofErr w:type="gramEnd"/>
      <w:r w:rsidRPr="00FD6B0E">
        <w:rPr>
          <w:rFonts w:cs="Arial"/>
          <w:bCs/>
          <w:lang w:val="nl-NL"/>
        </w:rPr>
        <w:t xml:space="preserve"> ADV200-SP aandrijving heeft een uitgebreid vermogensbereik, van 1,5 tot 400 kW, waardoor hij geschikt is voor een breed scala aan </w:t>
      </w:r>
      <w:r w:rsidR="00324D39">
        <w:rPr>
          <w:rFonts w:cs="Arial"/>
          <w:bCs/>
          <w:lang w:val="nl-NL"/>
        </w:rPr>
        <w:t>fabrieks</w:t>
      </w:r>
      <w:r w:rsidR="00324D39" w:rsidRPr="00FD6B0E">
        <w:rPr>
          <w:rFonts w:cs="Arial"/>
          <w:bCs/>
          <w:lang w:val="nl-NL"/>
        </w:rPr>
        <w:t>afmetingen</w:t>
      </w:r>
      <w:r w:rsidRPr="00FD6B0E">
        <w:rPr>
          <w:rFonts w:cs="Arial"/>
          <w:bCs/>
          <w:lang w:val="nl-NL"/>
        </w:rPr>
        <w:t xml:space="preserve">. Of hij nu geïntegreerd is in een kleinschalig bedrijf of in een </w:t>
      </w:r>
      <w:r w:rsidRPr="00FD6B0E">
        <w:rPr>
          <w:rFonts w:cs="Arial"/>
          <w:bCs/>
          <w:lang w:val="nl-NL"/>
        </w:rPr>
        <w:lastRenderedPageBreak/>
        <w:t xml:space="preserve">uitgebreid en complex irrigatiesysteem, deze aandrijving heeft het </w:t>
      </w:r>
      <w:r w:rsidR="003F5DB1">
        <w:rPr>
          <w:rFonts w:cs="Arial"/>
          <w:bCs/>
          <w:lang w:val="nl-NL"/>
        </w:rPr>
        <w:t>(</w:t>
      </w:r>
      <w:r w:rsidRPr="00FD6B0E">
        <w:rPr>
          <w:rFonts w:cs="Arial"/>
          <w:bCs/>
          <w:lang w:val="nl-NL"/>
        </w:rPr>
        <w:t>aanpassings</w:t>
      </w:r>
      <w:r w:rsidR="003F5DB1">
        <w:rPr>
          <w:rFonts w:cs="Arial"/>
          <w:bCs/>
          <w:lang w:val="nl-NL"/>
        </w:rPr>
        <w:t>-)</w:t>
      </w:r>
      <w:r w:rsidRPr="00FD6B0E">
        <w:rPr>
          <w:rFonts w:cs="Arial"/>
          <w:bCs/>
          <w:lang w:val="nl-NL"/>
        </w:rPr>
        <w:t>vermogen om aan een groot aantal behoeften te voldoen.</w:t>
      </w:r>
    </w:p>
    <w:p w14:paraId="7D9E09E9" w14:textId="77777777" w:rsidR="005C34EA" w:rsidRPr="00FD6B0E" w:rsidRDefault="005C34EA" w:rsidP="005C34EA">
      <w:pPr>
        <w:spacing w:line="480" w:lineRule="auto"/>
        <w:jc w:val="both"/>
        <w:rPr>
          <w:rFonts w:cs="Arial"/>
          <w:bCs/>
          <w:lang w:val="nl-NL"/>
        </w:rPr>
      </w:pPr>
    </w:p>
    <w:p w14:paraId="32EF3265" w14:textId="77777777" w:rsidR="005C34EA" w:rsidRPr="00FD6B0E" w:rsidRDefault="005C34EA" w:rsidP="005C34EA">
      <w:pPr>
        <w:spacing w:line="480" w:lineRule="auto"/>
        <w:jc w:val="both"/>
        <w:rPr>
          <w:rFonts w:cs="Arial"/>
          <w:bCs/>
          <w:lang w:val="nl-NL"/>
        </w:rPr>
      </w:pPr>
      <w:r w:rsidRPr="00FD6B0E">
        <w:rPr>
          <w:rFonts w:cs="Arial"/>
          <w:bCs/>
          <w:lang w:val="nl-NL"/>
        </w:rPr>
        <w:t xml:space="preserve">Om uitgebreide ondersteuning te bieden voor de bescherming en de werking van de pomp, bevat de software van de ADV200-SP verschillende gespecialiseerde functies. Deze functies omvatten stralingssensorbeheer, automatische start- en stopfunctie, </w:t>
      </w:r>
      <w:proofErr w:type="spellStart"/>
      <w:r w:rsidRPr="00FD6B0E">
        <w:rPr>
          <w:rFonts w:cs="Arial"/>
          <w:bCs/>
          <w:lang w:val="nl-NL"/>
        </w:rPr>
        <w:t>tankniveaucontrole</w:t>
      </w:r>
      <w:proofErr w:type="spellEnd"/>
      <w:r w:rsidRPr="00FD6B0E">
        <w:rPr>
          <w:rFonts w:cs="Arial"/>
          <w:bCs/>
          <w:lang w:val="nl-NL"/>
        </w:rPr>
        <w:t xml:space="preserve">, droogloopbeveiliging, debiet- en </w:t>
      </w:r>
      <w:proofErr w:type="spellStart"/>
      <w:r w:rsidRPr="00FD6B0E">
        <w:rPr>
          <w:rFonts w:cs="Arial"/>
          <w:bCs/>
          <w:lang w:val="nl-NL"/>
        </w:rPr>
        <w:t>druklusregeling</w:t>
      </w:r>
      <w:proofErr w:type="spellEnd"/>
      <w:r w:rsidRPr="00FD6B0E">
        <w:rPr>
          <w:rFonts w:cs="Arial"/>
          <w:bCs/>
          <w:lang w:val="nl-NL"/>
        </w:rPr>
        <w:t>, geschiktheid voor zowel distributie- als dompelpompen en zelfs een pompreinigingsfunctie. Dit uitgebreide pakket functies zorgt ervoor dat elk pompsysteem soepel en efficiënt werkt.</w:t>
      </w:r>
    </w:p>
    <w:p w14:paraId="1D6D252F" w14:textId="77777777" w:rsidR="005C34EA" w:rsidRPr="00FD6B0E" w:rsidRDefault="005C34EA" w:rsidP="005C34EA">
      <w:pPr>
        <w:spacing w:line="480" w:lineRule="auto"/>
        <w:jc w:val="both"/>
        <w:rPr>
          <w:rFonts w:cs="Arial"/>
          <w:bCs/>
          <w:lang w:val="nl-NL"/>
        </w:rPr>
      </w:pPr>
    </w:p>
    <w:p w14:paraId="7F384367" w14:textId="77777777" w:rsidR="005C34EA" w:rsidRPr="00FD6B0E" w:rsidRDefault="005C34EA" w:rsidP="005C34EA">
      <w:pPr>
        <w:spacing w:line="480" w:lineRule="auto"/>
        <w:jc w:val="both"/>
        <w:rPr>
          <w:rFonts w:cs="Arial"/>
          <w:bCs/>
          <w:lang w:val="nl-NL"/>
        </w:rPr>
      </w:pPr>
      <w:r w:rsidRPr="00FD6B0E">
        <w:rPr>
          <w:rFonts w:cs="Arial"/>
          <w:bCs/>
          <w:lang w:val="nl-NL"/>
        </w:rPr>
        <w:t>Bovendien is de ADV200-SP ontworpen met het oog op gebruiksvriendelijkheid. Het biedt een eenvoudige en intuïtieve interface, samen met eenvoudige hulpmiddelen voor het opstarten en optimaliseren van het systeem, waardoor het toegankelijk is voor zowel ervaren professionals als nieuwkomers in de zonnepomptechnologie.</w:t>
      </w:r>
    </w:p>
    <w:p w14:paraId="2C7EC3A0" w14:textId="77777777" w:rsidR="005C34EA" w:rsidRPr="00FD6B0E" w:rsidRDefault="005C34EA" w:rsidP="005C34EA">
      <w:pPr>
        <w:spacing w:line="480" w:lineRule="auto"/>
        <w:jc w:val="both"/>
        <w:rPr>
          <w:rFonts w:cs="Arial"/>
          <w:bCs/>
          <w:lang w:val="nl-NL"/>
        </w:rPr>
      </w:pPr>
    </w:p>
    <w:p w14:paraId="7B4089F5" w14:textId="162398AF" w:rsidR="004575C4" w:rsidRPr="00533E1B" w:rsidRDefault="005C34EA" w:rsidP="005C34EA">
      <w:pPr>
        <w:spacing w:line="480" w:lineRule="auto"/>
        <w:jc w:val="both"/>
        <w:rPr>
          <w:rFonts w:cs="Arial"/>
          <w:i/>
          <w:iCs/>
          <w:lang w:val="nl-NL"/>
        </w:rPr>
      </w:pPr>
      <w:r w:rsidRPr="00FD6B0E">
        <w:rPr>
          <w:rFonts w:cs="Arial"/>
          <w:bCs/>
          <w:lang w:val="nl-NL"/>
        </w:rPr>
        <w:t xml:space="preserve">"WEG zet zich in voor het leveren van duurzame oplossingen die efficiëntie en innovatie stimuleren in een groot aantal sectoren waarin we actief zijn", aldus Marek </w:t>
      </w:r>
      <w:proofErr w:type="spellStart"/>
      <w:r w:rsidRPr="00FD6B0E">
        <w:rPr>
          <w:rFonts w:cs="Arial"/>
          <w:bCs/>
          <w:lang w:val="nl-NL"/>
        </w:rPr>
        <w:t>Lukaszczyk</w:t>
      </w:r>
      <w:proofErr w:type="spellEnd"/>
      <w:r w:rsidRPr="00FD6B0E">
        <w:rPr>
          <w:rFonts w:cs="Arial"/>
          <w:bCs/>
          <w:lang w:val="nl-NL"/>
        </w:rPr>
        <w:t xml:space="preserve">, </w:t>
      </w:r>
      <w:proofErr w:type="gramStart"/>
      <w:r w:rsidRPr="00FD6B0E">
        <w:rPr>
          <w:rFonts w:cs="Arial"/>
          <w:bCs/>
          <w:lang w:val="nl-NL"/>
        </w:rPr>
        <w:t>marketing manager</w:t>
      </w:r>
      <w:proofErr w:type="gramEnd"/>
      <w:r w:rsidRPr="00FD6B0E">
        <w:rPr>
          <w:rFonts w:cs="Arial"/>
          <w:bCs/>
          <w:lang w:val="nl-NL"/>
        </w:rPr>
        <w:t xml:space="preserve"> voor Europa en het Midden-Oosten bij WEG. "De ADV200-SP aandrijving is een baanbrekende innovatie voor pompen op zonne-energie. De ADV200-SP is gebruiksvriendelijk, efficiënt en uitgerust met een groot aantal functies, en is een ideale oplossing om schonere pompwerkzaamheden te ondersteunen."</w:t>
      </w:r>
      <w:proofErr w:type="spellStart"/>
      <w:r w:rsidR="004575C4" w:rsidRPr="00533E1B">
        <w:rPr>
          <w:rFonts w:cs="Arial"/>
          <w:i/>
          <w:iCs/>
          <w:lang w:val="nl-NL"/>
        </w:rPr>
        <w:t>To</w:t>
      </w:r>
      <w:proofErr w:type="spellEnd"/>
      <w:r w:rsidR="004575C4" w:rsidRPr="00533E1B">
        <w:rPr>
          <w:rFonts w:cs="Arial"/>
          <w:i/>
          <w:iCs/>
          <w:lang w:val="nl-NL"/>
        </w:rPr>
        <w:t xml:space="preserve"> </w:t>
      </w:r>
      <w:proofErr w:type="spellStart"/>
      <w:r w:rsidR="004575C4" w:rsidRPr="00533E1B">
        <w:rPr>
          <w:rFonts w:cs="Arial"/>
          <w:i/>
          <w:iCs/>
          <w:lang w:val="nl-NL"/>
        </w:rPr>
        <w:t>find</w:t>
      </w:r>
      <w:proofErr w:type="spellEnd"/>
      <w:r w:rsidR="004575C4" w:rsidRPr="00533E1B">
        <w:rPr>
          <w:rFonts w:cs="Arial"/>
          <w:i/>
          <w:iCs/>
          <w:lang w:val="nl-NL"/>
        </w:rPr>
        <w:t xml:space="preserve"> out more, </w:t>
      </w:r>
      <w:proofErr w:type="spellStart"/>
      <w:r w:rsidR="004575C4" w:rsidRPr="00533E1B">
        <w:rPr>
          <w:rFonts w:cs="Arial"/>
          <w:i/>
          <w:iCs/>
          <w:lang w:val="nl-NL"/>
        </w:rPr>
        <w:t>visit</w:t>
      </w:r>
      <w:proofErr w:type="spellEnd"/>
      <w:r w:rsidR="004575C4" w:rsidRPr="00533E1B">
        <w:rPr>
          <w:rFonts w:cs="Arial"/>
          <w:i/>
          <w:iCs/>
          <w:lang w:val="nl-NL"/>
        </w:rPr>
        <w:t xml:space="preserve"> </w:t>
      </w:r>
      <w:proofErr w:type="spellStart"/>
      <w:r w:rsidR="004575C4" w:rsidRPr="00533E1B">
        <w:rPr>
          <w:rFonts w:cs="Arial"/>
          <w:i/>
          <w:iCs/>
          <w:lang w:val="nl-NL"/>
        </w:rPr>
        <w:t>the</w:t>
      </w:r>
      <w:proofErr w:type="spellEnd"/>
      <w:r w:rsidR="004575C4" w:rsidRPr="00533E1B">
        <w:rPr>
          <w:rFonts w:cs="Arial"/>
          <w:i/>
          <w:iCs/>
          <w:lang w:val="nl-NL"/>
        </w:rPr>
        <w:t xml:space="preserve"> website </w:t>
      </w:r>
      <w:hyperlink r:id="rId13">
        <w:r w:rsidR="004575C4" w:rsidRPr="00533E1B">
          <w:rPr>
            <w:rStyle w:val="Hyperlink"/>
            <w:rFonts w:cs="Arial"/>
            <w:i/>
            <w:iCs/>
            <w:lang w:val="nl-NL"/>
          </w:rPr>
          <w:t>here</w:t>
        </w:r>
      </w:hyperlink>
      <w:r w:rsidR="004575C4" w:rsidRPr="00533E1B">
        <w:rPr>
          <w:rFonts w:cs="Arial"/>
          <w:i/>
          <w:iCs/>
          <w:lang w:val="nl-NL"/>
        </w:rPr>
        <w:t>.</w:t>
      </w:r>
    </w:p>
    <w:p w14:paraId="05B4B067" w14:textId="400C3B0B" w:rsidR="57DEDD20" w:rsidRPr="00533E1B" w:rsidRDefault="57DEDD20" w:rsidP="57DEDD20">
      <w:pPr>
        <w:spacing w:line="480" w:lineRule="auto"/>
        <w:jc w:val="both"/>
        <w:rPr>
          <w:rFonts w:cs="Arial"/>
          <w:i/>
          <w:iCs/>
          <w:lang w:val="nl-NL"/>
        </w:rPr>
      </w:pPr>
    </w:p>
    <w:p w14:paraId="3CB88E37" w14:textId="77777777" w:rsidR="003E5474" w:rsidRPr="00533E1B" w:rsidRDefault="003E5474" w:rsidP="003E5474">
      <w:pPr>
        <w:rPr>
          <w:rFonts w:cs="Arial"/>
          <w:lang w:val="nl-NL"/>
        </w:rPr>
      </w:pPr>
    </w:p>
    <w:p w14:paraId="3CB88E38" w14:textId="196A7FCB" w:rsidR="00E03D45" w:rsidRPr="00533E1B" w:rsidRDefault="00E03D45" w:rsidP="00E03D45">
      <w:pPr>
        <w:rPr>
          <w:rFonts w:eastAsia="MS Mincho" w:cs="Arial"/>
        </w:rPr>
      </w:pPr>
      <w:r w:rsidRPr="00533E1B">
        <w:rPr>
          <w:rFonts w:eastAsia="MS Mincho" w:cs="Arial"/>
          <w:b/>
          <w:color w:val="4472C4"/>
        </w:rPr>
        <w:t>Ends:</w:t>
      </w:r>
      <w:r w:rsidRPr="00533E1B">
        <w:rPr>
          <w:rFonts w:eastAsia="MS Mincho" w:cs="Arial"/>
        </w:rPr>
        <w:t xml:space="preserve"> </w:t>
      </w:r>
      <w:r w:rsidR="00FC3CEC" w:rsidRPr="00533E1B">
        <w:rPr>
          <w:rFonts w:eastAsia="MS Mincho" w:cs="Arial"/>
        </w:rPr>
        <w:t>4</w:t>
      </w:r>
      <w:r w:rsidR="004575C4" w:rsidRPr="00533E1B">
        <w:rPr>
          <w:rFonts w:eastAsia="MS Mincho" w:cs="Arial"/>
        </w:rPr>
        <w:t>61</w:t>
      </w:r>
      <w:r w:rsidRPr="00533E1B">
        <w:rPr>
          <w:rFonts w:eastAsia="MS Mincho" w:cs="Arial"/>
        </w:rPr>
        <w:t xml:space="preserve"> words</w:t>
      </w:r>
    </w:p>
    <w:p w14:paraId="3CB88E39" w14:textId="77777777" w:rsidR="00E03D45" w:rsidRPr="00533E1B" w:rsidRDefault="00E03D45" w:rsidP="008A6A7A">
      <w:pPr>
        <w:rPr>
          <w:rFonts w:eastAsia="MS Mincho" w:cs="Arial"/>
        </w:rPr>
      </w:pPr>
    </w:p>
    <w:p w14:paraId="3CB88E3C" w14:textId="77777777" w:rsidR="00E03D45" w:rsidRPr="00533E1B" w:rsidRDefault="00E03D45" w:rsidP="008A6A7A">
      <w:pPr>
        <w:rPr>
          <w:rFonts w:cs="Arial"/>
        </w:rPr>
      </w:pPr>
      <w:r w:rsidRPr="00533E1B">
        <w:rPr>
          <w:rFonts w:eastAsia="MS Mincho" w:cs="Arial"/>
          <w:b/>
          <w:bCs/>
          <w:color w:val="4472C4"/>
        </w:rPr>
        <w:t>Editor’s note:</w:t>
      </w:r>
      <w:r w:rsidRPr="00533E1B">
        <w:rPr>
          <w:rFonts w:eastAsia="MS Mincho" w:cs="Arial"/>
          <w:b/>
          <w:bCs/>
          <w:color w:val="439639"/>
        </w:rPr>
        <w:t xml:space="preserve"> </w:t>
      </w:r>
      <w:r w:rsidRPr="00533E1B">
        <w:rPr>
          <w:rFonts w:cs="Arial"/>
        </w:rPr>
        <w:t xml:space="preserve">If you want to ensure you keep up to date with press material, opinion focussed content and case studies from </w:t>
      </w:r>
      <w:r w:rsidR="008A6A7A" w:rsidRPr="00533E1B">
        <w:rPr>
          <w:rFonts w:cs="Arial"/>
        </w:rPr>
        <w:t>WEG</w:t>
      </w:r>
      <w:r w:rsidRPr="00533E1B">
        <w:rPr>
          <w:rFonts w:cs="Arial"/>
        </w:rPr>
        <w:t xml:space="preserve"> visit </w:t>
      </w:r>
      <w:hyperlink r:id="rId14" w:history="1">
        <w:r w:rsidR="008A6A7A" w:rsidRPr="00533E1B">
          <w:rPr>
            <w:rStyle w:val="Hyperlink"/>
            <w:rFonts w:cs="Arial"/>
          </w:rPr>
          <w:t>https://www.weg.net/institutional/MR/en/all-news/all</w:t>
        </w:r>
      </w:hyperlink>
    </w:p>
    <w:p w14:paraId="3CB88E3D" w14:textId="77777777" w:rsidR="00E03D45" w:rsidRPr="00533E1B" w:rsidRDefault="00E03D45" w:rsidP="008A6A7A">
      <w:pPr>
        <w:rPr>
          <w:rFonts w:eastAsia="MS Mincho" w:cs="Arial"/>
          <w:b/>
          <w:bCs/>
          <w:color w:val="00529C"/>
        </w:rPr>
      </w:pPr>
    </w:p>
    <w:p w14:paraId="3CB88E3E" w14:textId="77777777" w:rsidR="008A6A7A" w:rsidRPr="00533E1B" w:rsidRDefault="00E03D45" w:rsidP="008A6A7A">
      <w:pPr>
        <w:rPr>
          <w:rFonts w:cs="Arial"/>
          <w:color w:val="000000"/>
          <w:lang w:eastAsia="en-GB"/>
        </w:rPr>
      </w:pPr>
      <w:r w:rsidRPr="00533E1B">
        <w:rPr>
          <w:rFonts w:eastAsia="MS Mincho" w:cs="Arial"/>
          <w:b/>
          <w:bCs/>
          <w:color w:val="4472C4"/>
        </w:rPr>
        <w:t>For further information contact:</w:t>
      </w:r>
      <w:r w:rsidRPr="00533E1B">
        <w:rPr>
          <w:rFonts w:eastAsia="MS Mincho" w:cs="Arial"/>
          <w:b/>
          <w:bCs/>
          <w:color w:val="439639"/>
        </w:rPr>
        <w:t xml:space="preserve"> </w:t>
      </w:r>
      <w:r w:rsidR="008A6A7A" w:rsidRPr="00533E1B">
        <w:rPr>
          <w:rFonts w:cs="Arial"/>
          <w:color w:val="000000"/>
          <w:lang w:eastAsia="en-GB"/>
        </w:rPr>
        <w:t>Marek Lukaszczyk</w:t>
      </w:r>
    </w:p>
    <w:p w14:paraId="3CB88E3F" w14:textId="77777777" w:rsidR="005076D1" w:rsidRPr="00533E1B" w:rsidRDefault="008A6A7A" w:rsidP="008A6A7A">
      <w:pPr>
        <w:rPr>
          <w:rFonts w:cs="Arial"/>
          <w:color w:val="E6950B"/>
          <w:shd w:val="clear" w:color="auto" w:fill="FFFFFF"/>
        </w:rPr>
      </w:pPr>
      <w:r w:rsidRPr="00533E1B">
        <w:rPr>
          <w:rFonts w:cs="Arial"/>
          <w:color w:val="000000"/>
          <w:lang w:eastAsia="en-GB"/>
        </w:rPr>
        <w:t>Broad Ground Road, Lakeside, Redditch, Worcestershire B98 8YP</w:t>
      </w:r>
    </w:p>
    <w:p w14:paraId="3CB88E40" w14:textId="77777777" w:rsidR="00E03D45" w:rsidRPr="00533E1B" w:rsidRDefault="00E03D45" w:rsidP="008A6A7A">
      <w:pPr>
        <w:rPr>
          <w:rFonts w:eastAsia="MS Mincho" w:cs="Arial"/>
          <w:bCs/>
        </w:rPr>
      </w:pPr>
      <w:r w:rsidRPr="00533E1B">
        <w:rPr>
          <w:rFonts w:eastAsia="MS Mincho" w:cs="Arial"/>
          <w:b/>
          <w:color w:val="4472C4"/>
        </w:rPr>
        <w:t>www:</w:t>
      </w:r>
      <w:r w:rsidRPr="00533E1B">
        <w:rPr>
          <w:rFonts w:cs="Arial"/>
          <w:color w:val="FF9933"/>
        </w:rPr>
        <w:t xml:space="preserve"> </w:t>
      </w:r>
      <w:hyperlink r:id="rId15" w:history="1">
        <w:r w:rsidR="008A6A7A" w:rsidRPr="00533E1B">
          <w:rPr>
            <w:rStyle w:val="Hyperlink"/>
            <w:rFonts w:cs="Arial"/>
          </w:rPr>
          <w:t>www.weg.net</w:t>
        </w:r>
      </w:hyperlink>
      <w:r w:rsidR="005076D1" w:rsidRPr="00533E1B">
        <w:rPr>
          <w:rFonts w:cs="Arial"/>
          <w:bCs/>
        </w:rPr>
        <w:t xml:space="preserve"> </w:t>
      </w:r>
    </w:p>
    <w:p w14:paraId="3CB88E41" w14:textId="77777777" w:rsidR="00E03D45" w:rsidRPr="00533E1B" w:rsidRDefault="00E03D45" w:rsidP="008A6A7A">
      <w:pPr>
        <w:rPr>
          <w:rFonts w:cs="Arial"/>
        </w:rPr>
      </w:pPr>
      <w:r w:rsidRPr="00533E1B">
        <w:rPr>
          <w:rFonts w:eastAsia="MS Mincho" w:cs="Arial"/>
          <w:b/>
          <w:bCs/>
          <w:color w:val="4472C4"/>
        </w:rPr>
        <w:t>e-mail</w:t>
      </w:r>
      <w:r w:rsidRPr="00533E1B">
        <w:rPr>
          <w:rFonts w:eastAsia="MS Mincho" w:cs="Arial"/>
          <w:b/>
          <w:color w:val="4472C4"/>
        </w:rPr>
        <w:t>:</w:t>
      </w:r>
      <w:r w:rsidRPr="00533E1B">
        <w:rPr>
          <w:rFonts w:eastAsia="MS Mincho" w:cs="Arial"/>
          <w:color w:val="00B4EC"/>
        </w:rPr>
        <w:t xml:space="preserve"> </w:t>
      </w:r>
      <w:hyperlink r:id="rId16" w:history="1">
        <w:r w:rsidR="008A6A7A" w:rsidRPr="00533E1B">
          <w:rPr>
            <w:rStyle w:val="Hyperlink"/>
            <w:rFonts w:cs="Arial"/>
            <w:color w:val="auto"/>
            <w:shd w:val="clear" w:color="auto" w:fill="FFFFFF"/>
          </w:rPr>
          <w:t>info-uk@weg.net</w:t>
        </w:r>
      </w:hyperlink>
    </w:p>
    <w:p w14:paraId="3CB88E42" w14:textId="77777777" w:rsidR="00E03D45" w:rsidRPr="00533E1B" w:rsidRDefault="00E03D45" w:rsidP="008A6A7A">
      <w:pPr>
        <w:rPr>
          <w:rFonts w:eastAsia="MS Mincho" w:cs="Arial"/>
          <w:color w:val="0C7289"/>
        </w:rPr>
      </w:pPr>
    </w:p>
    <w:p w14:paraId="3CB88E43" w14:textId="77777777" w:rsidR="00E03D45" w:rsidRPr="00533E1B" w:rsidRDefault="00E03D45" w:rsidP="008A6A7A">
      <w:pPr>
        <w:rPr>
          <w:rFonts w:eastAsia="MS Mincho" w:cs="Arial"/>
          <w:spacing w:val="-3"/>
        </w:rPr>
      </w:pPr>
      <w:r w:rsidRPr="00533E1B">
        <w:rPr>
          <w:rFonts w:eastAsia="MS Mincho" w:cs="Arial"/>
          <w:b/>
          <w:bCs/>
          <w:color w:val="4472C4"/>
        </w:rPr>
        <w:t>Press enquiries:</w:t>
      </w:r>
      <w:r w:rsidRPr="00533E1B">
        <w:rPr>
          <w:rFonts w:eastAsia="MS Mincho" w:cs="Arial"/>
          <w:b/>
          <w:bCs/>
          <w:color w:val="00B4EC"/>
          <w:spacing w:val="-3"/>
        </w:rPr>
        <w:t xml:space="preserve"> </w:t>
      </w:r>
      <w:r w:rsidR="00A832B5" w:rsidRPr="00533E1B">
        <w:rPr>
          <w:rFonts w:eastAsia="MS Mincho" w:cs="Arial"/>
          <w:spacing w:val="-3"/>
        </w:rPr>
        <w:t>Laura England</w:t>
      </w:r>
      <w:r w:rsidR="0010339A" w:rsidRPr="00533E1B">
        <w:rPr>
          <w:rFonts w:eastAsia="MS Mincho" w:cs="Arial"/>
          <w:spacing w:val="-3"/>
        </w:rPr>
        <w:t xml:space="preserve"> or Stephanie Wood</w:t>
      </w:r>
      <w:r w:rsidRPr="00533E1B">
        <w:rPr>
          <w:rFonts w:eastAsia="MS Mincho" w:cs="Arial"/>
          <w:spacing w:val="-3"/>
        </w:rPr>
        <w:t xml:space="preserve"> – Stone Junction Ltd</w:t>
      </w:r>
    </w:p>
    <w:p w14:paraId="3CB88E44" w14:textId="77777777" w:rsidR="00E03D45" w:rsidRPr="00533E1B" w:rsidRDefault="00E23DAC" w:rsidP="008A6A7A">
      <w:pPr>
        <w:rPr>
          <w:rFonts w:cs="Arial"/>
          <w:color w:val="000000"/>
          <w:lang w:eastAsia="en-GB"/>
        </w:rPr>
      </w:pPr>
      <w:r w:rsidRPr="00533E1B">
        <w:rPr>
          <w:rFonts w:cs="Arial"/>
          <w:color w:val="000000"/>
          <w:lang w:eastAsia="en-GB"/>
        </w:rPr>
        <w:t>Suites 1&amp;2 The Malthouse, Water Street, Stafford, Staffordshire, ST16 1AR </w:t>
      </w:r>
      <w:r w:rsidR="00E03D45" w:rsidRPr="00533E1B">
        <w:rPr>
          <w:rFonts w:eastAsia="MS Mincho" w:cs="Arial"/>
          <w:lang w:eastAsia="en-GB"/>
        </w:rPr>
        <w:br/>
      </w:r>
      <w:r w:rsidR="00E03D45" w:rsidRPr="00533E1B">
        <w:rPr>
          <w:rFonts w:eastAsia="MS Mincho" w:cs="Arial"/>
          <w:b/>
          <w:bCs/>
          <w:color w:val="4472C4"/>
        </w:rPr>
        <w:t>Telephone:</w:t>
      </w:r>
      <w:r w:rsidR="00E03D45" w:rsidRPr="00533E1B">
        <w:rPr>
          <w:rFonts w:eastAsia="MS Mincho" w:cs="Arial"/>
          <w:color w:val="002060"/>
          <w:spacing w:val="-3"/>
        </w:rPr>
        <w:t xml:space="preserve"> </w:t>
      </w:r>
      <w:r w:rsidR="00E03D45" w:rsidRPr="00533E1B">
        <w:rPr>
          <w:rFonts w:eastAsia="MS Mincho" w:cs="Arial"/>
          <w:spacing w:val="-3"/>
        </w:rPr>
        <w:t>+44 (0) 1785 225416</w:t>
      </w:r>
    </w:p>
    <w:p w14:paraId="3CB88E45" w14:textId="77777777" w:rsidR="00E03D45" w:rsidRPr="00533E1B" w:rsidRDefault="00E03D45" w:rsidP="008A6A7A">
      <w:pPr>
        <w:rPr>
          <w:rFonts w:eastAsia="MS Mincho" w:cs="Arial"/>
          <w:spacing w:val="-3"/>
        </w:rPr>
      </w:pPr>
      <w:r w:rsidRPr="00533E1B">
        <w:rPr>
          <w:rFonts w:eastAsia="MS Mincho" w:cs="Arial"/>
          <w:b/>
          <w:bCs/>
          <w:color w:val="4472C4"/>
        </w:rPr>
        <w:t>e-mail:</w:t>
      </w:r>
      <w:r w:rsidRPr="00533E1B">
        <w:rPr>
          <w:rFonts w:eastAsia="MS Mincho" w:cs="Arial"/>
          <w:color w:val="00B050"/>
          <w:spacing w:val="-3"/>
        </w:rPr>
        <w:t xml:space="preserve"> </w:t>
      </w:r>
      <w:hyperlink r:id="rId17" w:history="1">
        <w:r w:rsidR="00A832B5" w:rsidRPr="00533E1B">
          <w:rPr>
            <w:rStyle w:val="Hyperlink"/>
            <w:rFonts w:eastAsia="MS Mincho" w:cs="Arial"/>
            <w:spacing w:val="-3"/>
          </w:rPr>
          <w:t>laura@stonejunction.co.uk</w:t>
        </w:r>
      </w:hyperlink>
      <w:r w:rsidRPr="00533E1B">
        <w:rPr>
          <w:rFonts w:eastAsia="MS Mincho" w:cs="Arial"/>
          <w:spacing w:val="-3"/>
        </w:rPr>
        <w:t xml:space="preserve"> </w:t>
      </w:r>
      <w:r w:rsidR="0010339A" w:rsidRPr="00533E1B">
        <w:rPr>
          <w:rFonts w:eastAsia="MS Mincho" w:cs="Arial"/>
          <w:spacing w:val="-3"/>
        </w:rPr>
        <w:t xml:space="preserve">or </w:t>
      </w:r>
      <w:hyperlink r:id="rId18" w:history="1">
        <w:r w:rsidR="0010339A" w:rsidRPr="00533E1B">
          <w:rPr>
            <w:rStyle w:val="Hyperlink"/>
            <w:rFonts w:eastAsia="MS Mincho" w:cs="Arial"/>
            <w:spacing w:val="-3"/>
          </w:rPr>
          <w:t>stephanie@stonejunction.co.uk</w:t>
        </w:r>
      </w:hyperlink>
      <w:r w:rsidR="0010339A" w:rsidRPr="00533E1B">
        <w:rPr>
          <w:rFonts w:eastAsia="MS Mincho" w:cs="Arial"/>
          <w:spacing w:val="-3"/>
        </w:rPr>
        <w:t xml:space="preserve"> </w:t>
      </w:r>
    </w:p>
    <w:p w14:paraId="3CB88E46" w14:textId="77777777" w:rsidR="00E03D45" w:rsidRPr="00533E1B" w:rsidRDefault="00E03D45" w:rsidP="008A6A7A">
      <w:pPr>
        <w:rPr>
          <w:rFonts w:eastAsia="MS Mincho" w:cs="Arial"/>
          <w:spacing w:val="-3"/>
          <w:lang w:val="nl-NL"/>
        </w:rPr>
      </w:pPr>
      <w:proofErr w:type="gramStart"/>
      <w:r w:rsidRPr="00533E1B">
        <w:rPr>
          <w:rFonts w:eastAsia="MS Mincho" w:cs="Arial"/>
          <w:b/>
          <w:bCs/>
          <w:color w:val="4472C4"/>
          <w:lang w:val="nl-NL"/>
        </w:rPr>
        <w:t>www</w:t>
      </w:r>
      <w:proofErr w:type="gramEnd"/>
      <w:r w:rsidRPr="00533E1B">
        <w:rPr>
          <w:rFonts w:eastAsia="MS Mincho" w:cs="Arial"/>
          <w:b/>
          <w:bCs/>
          <w:color w:val="4472C4"/>
          <w:lang w:val="nl-NL"/>
        </w:rPr>
        <w:t>:</w:t>
      </w:r>
      <w:r w:rsidRPr="00533E1B">
        <w:rPr>
          <w:rFonts w:eastAsia="MS Mincho" w:cs="Arial"/>
          <w:color w:val="00B050"/>
          <w:spacing w:val="-3"/>
          <w:lang w:val="nl-NL"/>
        </w:rPr>
        <w:t xml:space="preserve"> </w:t>
      </w:r>
      <w:hyperlink r:id="rId19" w:history="1">
        <w:r w:rsidRPr="00533E1B">
          <w:rPr>
            <w:rStyle w:val="Hyperlink"/>
            <w:rFonts w:eastAsia="MS Mincho" w:cs="Arial"/>
            <w:spacing w:val="-3"/>
            <w:lang w:val="nl-NL"/>
          </w:rPr>
          <w:t>www.stonejunction.co.uk</w:t>
        </w:r>
      </w:hyperlink>
      <w:r w:rsidRPr="00533E1B">
        <w:rPr>
          <w:rFonts w:eastAsia="MS Mincho" w:cs="Arial"/>
          <w:spacing w:val="-3"/>
          <w:lang w:val="nl-NL"/>
        </w:rPr>
        <w:t xml:space="preserve">  </w:t>
      </w:r>
    </w:p>
    <w:p w14:paraId="3CB88E47" w14:textId="77777777" w:rsidR="00E03D45" w:rsidRPr="00533E1B" w:rsidRDefault="00E03D45" w:rsidP="008A6A7A">
      <w:pPr>
        <w:rPr>
          <w:rFonts w:eastAsia="MS Mincho" w:cs="Arial"/>
          <w:b/>
          <w:bCs/>
          <w:color w:val="CC0000"/>
          <w:spacing w:val="-3"/>
          <w:lang w:val="nl-NL"/>
        </w:rPr>
      </w:pPr>
      <w:r w:rsidRPr="00533E1B">
        <w:rPr>
          <w:rFonts w:eastAsia="MS Mincho" w:cs="Arial"/>
          <w:b/>
          <w:bCs/>
          <w:color w:val="4472C4"/>
          <w:lang w:val="nl-NL"/>
        </w:rPr>
        <w:t>Blog:</w:t>
      </w:r>
      <w:r w:rsidRPr="00533E1B">
        <w:rPr>
          <w:rFonts w:eastAsia="MS Mincho" w:cs="Arial"/>
          <w:b/>
          <w:bCs/>
          <w:color w:val="FF9933"/>
          <w:spacing w:val="-3"/>
          <w:lang w:val="nl-NL"/>
        </w:rPr>
        <w:t xml:space="preserve"> </w:t>
      </w:r>
      <w:hyperlink r:id="rId20" w:history="1">
        <w:r w:rsidRPr="00533E1B">
          <w:rPr>
            <w:rStyle w:val="Hyperlink"/>
            <w:rFonts w:eastAsia="MS Mincho" w:cs="Arial"/>
            <w:bCs/>
            <w:spacing w:val="-3"/>
            <w:lang w:val="nl-NL"/>
          </w:rPr>
          <w:t>www.stone-junction.blogspot.com</w:t>
        </w:r>
      </w:hyperlink>
      <w:r w:rsidRPr="00533E1B">
        <w:rPr>
          <w:rFonts w:eastAsia="MS Mincho" w:cs="Arial"/>
          <w:b/>
          <w:bCs/>
          <w:color w:val="CC0000"/>
          <w:spacing w:val="-3"/>
          <w:lang w:val="nl-NL"/>
        </w:rPr>
        <w:t xml:space="preserve"> </w:t>
      </w:r>
    </w:p>
    <w:p w14:paraId="3CB88E48" w14:textId="77777777" w:rsidR="00E03D45" w:rsidRPr="00533E1B" w:rsidRDefault="00E03D45" w:rsidP="008A6A7A">
      <w:pPr>
        <w:rPr>
          <w:rFonts w:eastAsia="MS Mincho" w:cs="Arial"/>
          <w:bCs/>
          <w:color w:val="002060"/>
          <w:spacing w:val="-3"/>
        </w:rPr>
      </w:pPr>
      <w:r w:rsidRPr="00533E1B">
        <w:rPr>
          <w:rFonts w:eastAsia="MS Mincho" w:cs="Arial"/>
          <w:b/>
          <w:bCs/>
          <w:color w:val="4472C4"/>
        </w:rPr>
        <w:t>Twitter:</w:t>
      </w:r>
      <w:r w:rsidRPr="00533E1B">
        <w:rPr>
          <w:rFonts w:eastAsia="MS Mincho" w:cs="Arial"/>
          <w:b/>
          <w:bCs/>
          <w:color w:val="00529C"/>
          <w:spacing w:val="-3"/>
        </w:rPr>
        <w:t xml:space="preserve"> </w:t>
      </w:r>
      <w:hyperlink r:id="rId21" w:history="1">
        <w:r w:rsidRPr="00533E1B">
          <w:rPr>
            <w:rStyle w:val="Hyperlink"/>
            <w:rFonts w:eastAsia="MS Mincho" w:cs="Arial"/>
            <w:bCs/>
            <w:spacing w:val="-3"/>
          </w:rPr>
          <w:t>www.twitter.com/StoneJunctionPR</w:t>
        </w:r>
      </w:hyperlink>
    </w:p>
    <w:p w14:paraId="3CB88E49" w14:textId="77777777" w:rsidR="00E03D45" w:rsidRPr="00533E1B" w:rsidRDefault="00E03D45" w:rsidP="008A6A7A">
      <w:pPr>
        <w:rPr>
          <w:rFonts w:eastAsia="MS Mincho" w:cs="Arial"/>
          <w:bCs/>
          <w:color w:val="002060"/>
          <w:spacing w:val="-3"/>
        </w:rPr>
      </w:pPr>
      <w:r w:rsidRPr="00533E1B">
        <w:rPr>
          <w:rFonts w:eastAsia="MS Mincho" w:cs="Arial"/>
          <w:b/>
          <w:bCs/>
          <w:color w:val="4472C4"/>
        </w:rPr>
        <w:t>Facebook</w:t>
      </w:r>
      <w:r w:rsidRPr="00533E1B">
        <w:rPr>
          <w:rFonts w:eastAsia="MS Mincho" w:cs="Arial"/>
          <w:b/>
          <w:bCs/>
          <w:color w:val="4472C4"/>
          <w:spacing w:val="-3"/>
        </w:rPr>
        <w:t>:</w:t>
      </w:r>
      <w:r w:rsidRPr="00533E1B">
        <w:rPr>
          <w:rFonts w:eastAsia="MS Mincho" w:cs="Arial"/>
          <w:b/>
          <w:bCs/>
          <w:color w:val="00B050"/>
          <w:spacing w:val="-3"/>
        </w:rPr>
        <w:t xml:space="preserve"> </w:t>
      </w:r>
      <w:hyperlink r:id="rId22" w:history="1">
        <w:r w:rsidRPr="00533E1B">
          <w:rPr>
            <w:rStyle w:val="Hyperlink"/>
            <w:rFonts w:eastAsia="MS Mincho" w:cs="Arial"/>
          </w:rPr>
          <w:t>http://www.facebook.com/technicalPR</w:t>
        </w:r>
      </w:hyperlink>
    </w:p>
    <w:p w14:paraId="3CB88E4A" w14:textId="77777777" w:rsidR="00E03D45" w:rsidRPr="00533E1B" w:rsidRDefault="00E03D45" w:rsidP="008A6A7A">
      <w:pPr>
        <w:rPr>
          <w:rFonts w:eastAsia="MS Mincho" w:cs="Arial"/>
          <w:b/>
          <w:bCs/>
          <w:color w:val="002060"/>
          <w:spacing w:val="-3"/>
        </w:rPr>
      </w:pPr>
      <w:r w:rsidRPr="00533E1B">
        <w:rPr>
          <w:rFonts w:eastAsia="MS Mincho" w:cs="Arial"/>
          <w:b/>
          <w:bCs/>
          <w:color w:val="4472C4"/>
        </w:rPr>
        <w:t>LinkedIn:</w:t>
      </w:r>
      <w:r w:rsidRPr="00533E1B">
        <w:rPr>
          <w:rFonts w:eastAsia="MS Mincho" w:cs="Arial"/>
          <w:color w:val="4472C4"/>
          <w:lang w:eastAsia="en-GB"/>
        </w:rPr>
        <w:t xml:space="preserve"> </w:t>
      </w:r>
      <w:hyperlink r:id="rId23" w:history="1">
        <w:r w:rsidRPr="00533E1B">
          <w:rPr>
            <w:rStyle w:val="Hyperlink"/>
            <w:rFonts w:eastAsia="MS Mincho" w:cs="Arial"/>
          </w:rPr>
          <w:t>https://www.linkedin.com/company/stone-junction-ltd</w:t>
        </w:r>
      </w:hyperlink>
    </w:p>
    <w:p w14:paraId="3CB88E4B" w14:textId="77777777" w:rsidR="00E03D45" w:rsidRPr="00533E1B" w:rsidRDefault="00E03D45" w:rsidP="008A6A7A">
      <w:pPr>
        <w:rPr>
          <w:rFonts w:eastAsia="MS Mincho" w:cs="Arial"/>
          <w:b/>
          <w:bCs/>
          <w:color w:val="439639"/>
        </w:rPr>
      </w:pPr>
    </w:p>
    <w:p w14:paraId="3CB88E4C" w14:textId="77777777" w:rsidR="00A97965" w:rsidRPr="00533E1B" w:rsidRDefault="00382C38" w:rsidP="00A97965">
      <w:pPr>
        <w:pStyle w:val="NormalWeb"/>
        <w:jc w:val="both"/>
        <w:rPr>
          <w:rFonts w:ascii="Arial" w:hAnsi="Arial" w:cs="Arial"/>
          <w:lang w:val="en-GB"/>
        </w:rPr>
      </w:pPr>
      <w:r w:rsidRPr="00533E1B">
        <w:rPr>
          <w:rFonts w:ascii="Arial" w:eastAsia="MS Mincho" w:hAnsi="Arial" w:cs="Arial"/>
          <w:b/>
          <w:bCs/>
          <w:color w:val="4472C4"/>
          <w:lang w:val="en-GB"/>
        </w:rPr>
        <w:t>About WEG:</w:t>
      </w:r>
      <w:r w:rsidRPr="00533E1B">
        <w:rPr>
          <w:rFonts w:ascii="Arial" w:hAnsi="Arial" w:cs="Arial"/>
          <w:color w:val="2D2B2B"/>
          <w:shd w:val="clear" w:color="auto" w:fill="FFFFFF"/>
          <w:lang w:val="en-GB"/>
        </w:rPr>
        <w:t xml:space="preserve"> </w:t>
      </w:r>
      <w:r w:rsidR="00A97965" w:rsidRPr="00533E1B">
        <w:rPr>
          <w:rFonts w:ascii="Arial" w:hAnsi="Arial" w:cs="Arial"/>
          <w:lang w:val="en-GB"/>
        </w:rPr>
        <w:t xml:space="preserve">Founded in 1961, WEG is a global electric-electronic equipment company, operating mainly in the capital goods sector with solutions in electric machines, </w:t>
      </w:r>
      <w:proofErr w:type="gramStart"/>
      <w:r w:rsidR="00A97965" w:rsidRPr="00533E1B">
        <w:rPr>
          <w:rFonts w:ascii="Arial" w:hAnsi="Arial" w:cs="Arial"/>
          <w:lang w:val="en-GB"/>
        </w:rPr>
        <w:t>automation</w:t>
      </w:r>
      <w:proofErr w:type="gramEnd"/>
      <w:r w:rsidR="00A97965" w:rsidRPr="00533E1B">
        <w:rPr>
          <w:rFonts w:ascii="Arial" w:hAnsi="Arial" w:cs="Arial"/>
          <w:lang w:val="en-GB"/>
        </w:rPr>
        <w:t xml:space="preserve"> and paints for several sectors, including infrastructure, steel, pulp and paper, oil and gas, mining, among many others. </w:t>
      </w:r>
    </w:p>
    <w:p w14:paraId="3CB88E4D" w14:textId="77777777" w:rsidR="0081437B" w:rsidRPr="00533E1B" w:rsidRDefault="0081437B" w:rsidP="0081437B">
      <w:pPr>
        <w:pStyle w:val="NormalWeb"/>
        <w:jc w:val="both"/>
        <w:rPr>
          <w:rFonts w:ascii="Arial" w:hAnsi="Arial" w:cs="Arial"/>
          <w:lang w:val="en-GB"/>
        </w:rPr>
      </w:pPr>
      <w:r w:rsidRPr="00533E1B">
        <w:rPr>
          <w:rFonts w:ascii="Arial" w:hAnsi="Arial" w:cs="Arial"/>
          <w:lang w:val="en-GB"/>
        </w:rPr>
        <w:t xml:space="preserve">WEG stands out in innovation by constantly developing solutions to meet the major trends in energy efficiency, renewable </w:t>
      </w:r>
      <w:proofErr w:type="gramStart"/>
      <w:r w:rsidRPr="00533E1B">
        <w:rPr>
          <w:rFonts w:ascii="Arial" w:hAnsi="Arial" w:cs="Arial"/>
          <w:lang w:val="en-GB"/>
        </w:rPr>
        <w:t>energy</w:t>
      </w:r>
      <w:proofErr w:type="gramEnd"/>
      <w:r w:rsidRPr="00533E1B">
        <w:rPr>
          <w:rFonts w:ascii="Arial" w:hAnsi="Arial" w:cs="Arial"/>
          <w:lang w:val="en-GB"/>
        </w:rPr>
        <w:t xml:space="preserve"> and electric mobility. With manufacturing units in 12 countries and present in more than 135 countries, the company has more than 33,800 employees worldwide. </w:t>
      </w:r>
      <w:r w:rsidRPr="00533E1B">
        <w:rPr>
          <w:rFonts w:ascii="Arial" w:hAnsi="Arial" w:cs="Arial"/>
          <w:shd w:val="clear" w:color="auto" w:fill="FFFFFF"/>
          <w:lang w:val="en-GB"/>
        </w:rPr>
        <w:t>WEG’s net revenue reached R$ 29.9 billion in 2022, 50.3 per cent from external markets.</w:t>
      </w:r>
      <w:r w:rsidRPr="00533E1B">
        <w:rPr>
          <w:rFonts w:ascii="Arial" w:hAnsi="Arial" w:cs="Arial"/>
          <w:lang w:val="en-GB"/>
        </w:rPr>
        <w:t xml:space="preserve"> For more information, visit </w:t>
      </w:r>
      <w:hyperlink r:id="rId24" w:history="1">
        <w:r w:rsidRPr="00533E1B">
          <w:rPr>
            <w:rStyle w:val="Hyperlink"/>
            <w:rFonts w:ascii="Arial" w:hAnsi="Arial" w:cs="Arial"/>
            <w:color w:val="auto"/>
            <w:lang w:val="en-GB"/>
          </w:rPr>
          <w:t>www.weg.net</w:t>
        </w:r>
      </w:hyperlink>
    </w:p>
    <w:p w14:paraId="3CB88E4E" w14:textId="77777777" w:rsidR="008A6A7A" w:rsidRPr="00533E1B" w:rsidRDefault="008A6A7A" w:rsidP="00E03D45">
      <w:pPr>
        <w:rPr>
          <w:rFonts w:cs="Arial"/>
          <w:bCs/>
        </w:rPr>
      </w:pPr>
    </w:p>
    <w:p w14:paraId="3CB88E4F" w14:textId="46BCAEA1" w:rsidR="00E03D45" w:rsidRPr="00533E1B" w:rsidRDefault="00E03D45" w:rsidP="00E03D45">
      <w:pPr>
        <w:rPr>
          <w:rFonts w:eastAsia="MS Mincho" w:cs="Arial"/>
          <w:b/>
          <w:color w:val="CC3300"/>
          <w:spacing w:val="-3"/>
        </w:rPr>
      </w:pPr>
      <w:r w:rsidRPr="00533E1B">
        <w:rPr>
          <w:rFonts w:eastAsia="MS Mincho" w:cs="Arial"/>
          <w:b/>
          <w:bCs/>
          <w:color w:val="4472C4"/>
        </w:rPr>
        <w:t>Ref:</w:t>
      </w:r>
      <w:r w:rsidRPr="00533E1B">
        <w:rPr>
          <w:rFonts w:eastAsia="MS Mincho" w:cs="Arial"/>
          <w:spacing w:val="-3"/>
        </w:rPr>
        <w:t xml:space="preserve"> </w:t>
      </w:r>
      <w:r w:rsidR="008A6A7A" w:rsidRPr="00533E1B">
        <w:rPr>
          <w:rFonts w:eastAsia="MS Mincho" w:cs="Arial"/>
          <w:spacing w:val="-3"/>
        </w:rPr>
        <w:t>WEG</w:t>
      </w:r>
      <w:r w:rsidR="00A06F61" w:rsidRPr="00533E1B">
        <w:rPr>
          <w:rFonts w:eastAsia="MS Mincho" w:cs="Arial"/>
          <w:spacing w:val="-3"/>
        </w:rPr>
        <w:t>918</w:t>
      </w:r>
      <w:r w:rsidRPr="00533E1B">
        <w:rPr>
          <w:rFonts w:eastAsia="MS Mincho" w:cs="Arial"/>
          <w:spacing w:val="-3"/>
        </w:rPr>
        <w:t>/</w:t>
      </w:r>
      <w:r w:rsidR="00A06F61" w:rsidRPr="00533E1B">
        <w:rPr>
          <w:rFonts w:eastAsia="MS Mincho" w:cs="Arial"/>
          <w:spacing w:val="-3"/>
        </w:rPr>
        <w:t>10</w:t>
      </w:r>
      <w:r w:rsidRPr="00533E1B">
        <w:rPr>
          <w:rFonts w:eastAsia="MS Mincho" w:cs="Arial"/>
          <w:spacing w:val="-3"/>
        </w:rPr>
        <w:t>/</w:t>
      </w:r>
      <w:r w:rsidR="00801271" w:rsidRPr="00533E1B">
        <w:rPr>
          <w:rFonts w:eastAsia="MS Mincho" w:cs="Arial"/>
          <w:spacing w:val="-3"/>
        </w:rPr>
        <w:t>23</w:t>
      </w:r>
    </w:p>
    <w:p w14:paraId="3CB88E50" w14:textId="77777777" w:rsidR="00B86E1F" w:rsidRPr="00533E1B" w:rsidRDefault="00B86E1F" w:rsidP="00E03D45">
      <w:pPr>
        <w:rPr>
          <w:rFonts w:eastAsia="MS Mincho" w:cs="Arial"/>
          <w:b/>
          <w:color w:val="CC3300"/>
          <w:spacing w:val="-3"/>
        </w:rPr>
      </w:pPr>
    </w:p>
    <w:sectPr w:rsidR="00B86E1F" w:rsidRPr="00533E1B" w:rsidSect="00ED5524">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8EB9F" w14:textId="77777777" w:rsidR="00ED5524" w:rsidRDefault="00ED5524" w:rsidP="00C0175F">
      <w:r>
        <w:separator/>
      </w:r>
    </w:p>
  </w:endnote>
  <w:endnote w:type="continuationSeparator" w:id="0">
    <w:p w14:paraId="14C26F50" w14:textId="77777777" w:rsidR="00ED5524" w:rsidRDefault="00ED5524"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F6D32" w14:textId="77777777" w:rsidR="00ED5524" w:rsidRDefault="00ED5524" w:rsidP="00C0175F">
      <w:r>
        <w:separator/>
      </w:r>
    </w:p>
  </w:footnote>
  <w:footnote w:type="continuationSeparator" w:id="0">
    <w:p w14:paraId="2FCB7788" w14:textId="77777777" w:rsidR="00ED5524" w:rsidRDefault="00ED5524"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88E57"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trackRevisions/>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5FF1"/>
    <w:rsid w:val="00012707"/>
    <w:rsid w:val="000245BC"/>
    <w:rsid w:val="00027D32"/>
    <w:rsid w:val="00045BF8"/>
    <w:rsid w:val="0005012E"/>
    <w:rsid w:val="000B6365"/>
    <w:rsid w:val="000B7E0B"/>
    <w:rsid w:val="000C2851"/>
    <w:rsid w:val="000D6C36"/>
    <w:rsid w:val="000E1B39"/>
    <w:rsid w:val="000E271B"/>
    <w:rsid w:val="000F78F9"/>
    <w:rsid w:val="0010339A"/>
    <w:rsid w:val="0010765B"/>
    <w:rsid w:val="00155C9B"/>
    <w:rsid w:val="00165FE6"/>
    <w:rsid w:val="001749B1"/>
    <w:rsid w:val="00191676"/>
    <w:rsid w:val="001B2D8F"/>
    <w:rsid w:val="001C062A"/>
    <w:rsid w:val="001C49D1"/>
    <w:rsid w:val="001C4B73"/>
    <w:rsid w:val="001C5C6E"/>
    <w:rsid w:val="001D6804"/>
    <w:rsid w:val="002729EE"/>
    <w:rsid w:val="002A1459"/>
    <w:rsid w:val="002A4040"/>
    <w:rsid w:val="002B2F32"/>
    <w:rsid w:val="002B5A47"/>
    <w:rsid w:val="002E58A3"/>
    <w:rsid w:val="003002E4"/>
    <w:rsid w:val="0030281F"/>
    <w:rsid w:val="00302AA3"/>
    <w:rsid w:val="003056A3"/>
    <w:rsid w:val="00323AA5"/>
    <w:rsid w:val="00324D39"/>
    <w:rsid w:val="00344857"/>
    <w:rsid w:val="00351818"/>
    <w:rsid w:val="003646FD"/>
    <w:rsid w:val="003663E7"/>
    <w:rsid w:val="003708FC"/>
    <w:rsid w:val="00382C38"/>
    <w:rsid w:val="00382EA0"/>
    <w:rsid w:val="00387BB5"/>
    <w:rsid w:val="00396D46"/>
    <w:rsid w:val="003A33DB"/>
    <w:rsid w:val="003A7BBA"/>
    <w:rsid w:val="003E5474"/>
    <w:rsid w:val="003F5DB1"/>
    <w:rsid w:val="004046B9"/>
    <w:rsid w:val="00415E13"/>
    <w:rsid w:val="004225DF"/>
    <w:rsid w:val="00423B09"/>
    <w:rsid w:val="004450B0"/>
    <w:rsid w:val="004575C4"/>
    <w:rsid w:val="00463485"/>
    <w:rsid w:val="00492E4F"/>
    <w:rsid w:val="004948DB"/>
    <w:rsid w:val="004A2AA0"/>
    <w:rsid w:val="004D1123"/>
    <w:rsid w:val="004E1628"/>
    <w:rsid w:val="004F1A07"/>
    <w:rsid w:val="00500E9F"/>
    <w:rsid w:val="005076D1"/>
    <w:rsid w:val="00514185"/>
    <w:rsid w:val="005172EA"/>
    <w:rsid w:val="00522573"/>
    <w:rsid w:val="00524B55"/>
    <w:rsid w:val="00533397"/>
    <w:rsid w:val="00533E1B"/>
    <w:rsid w:val="00551987"/>
    <w:rsid w:val="005641B5"/>
    <w:rsid w:val="00567A68"/>
    <w:rsid w:val="00575480"/>
    <w:rsid w:val="00580101"/>
    <w:rsid w:val="005973B5"/>
    <w:rsid w:val="005B111B"/>
    <w:rsid w:val="005C0C60"/>
    <w:rsid w:val="005C34EA"/>
    <w:rsid w:val="005C3A2D"/>
    <w:rsid w:val="005C3DF8"/>
    <w:rsid w:val="005C72BE"/>
    <w:rsid w:val="005F0A68"/>
    <w:rsid w:val="005F64D6"/>
    <w:rsid w:val="0061053B"/>
    <w:rsid w:val="006154AA"/>
    <w:rsid w:val="006320A8"/>
    <w:rsid w:val="0064285E"/>
    <w:rsid w:val="00666925"/>
    <w:rsid w:val="00685357"/>
    <w:rsid w:val="00685A84"/>
    <w:rsid w:val="00687C41"/>
    <w:rsid w:val="006A1D50"/>
    <w:rsid w:val="006B7A4C"/>
    <w:rsid w:val="006C5423"/>
    <w:rsid w:val="006D0EBA"/>
    <w:rsid w:val="00726E08"/>
    <w:rsid w:val="00737F3E"/>
    <w:rsid w:val="00757760"/>
    <w:rsid w:val="00763095"/>
    <w:rsid w:val="00772F8D"/>
    <w:rsid w:val="00790A19"/>
    <w:rsid w:val="007A56B1"/>
    <w:rsid w:val="007B2663"/>
    <w:rsid w:val="007E5B66"/>
    <w:rsid w:val="007F3F1C"/>
    <w:rsid w:val="00801271"/>
    <w:rsid w:val="0081278B"/>
    <w:rsid w:val="00813D87"/>
    <w:rsid w:val="0081437B"/>
    <w:rsid w:val="00857350"/>
    <w:rsid w:val="008575DB"/>
    <w:rsid w:val="008A6A7A"/>
    <w:rsid w:val="008B7C88"/>
    <w:rsid w:val="008D63D5"/>
    <w:rsid w:val="00902A1F"/>
    <w:rsid w:val="00910E33"/>
    <w:rsid w:val="00916214"/>
    <w:rsid w:val="009213B5"/>
    <w:rsid w:val="00924FCE"/>
    <w:rsid w:val="009250CF"/>
    <w:rsid w:val="009701B9"/>
    <w:rsid w:val="00981A09"/>
    <w:rsid w:val="009D7744"/>
    <w:rsid w:val="009E5238"/>
    <w:rsid w:val="00A06F61"/>
    <w:rsid w:val="00A2186B"/>
    <w:rsid w:val="00A33F1E"/>
    <w:rsid w:val="00A67985"/>
    <w:rsid w:val="00A80B85"/>
    <w:rsid w:val="00A832B5"/>
    <w:rsid w:val="00A8496E"/>
    <w:rsid w:val="00A97965"/>
    <w:rsid w:val="00B02318"/>
    <w:rsid w:val="00B04F8D"/>
    <w:rsid w:val="00B14D96"/>
    <w:rsid w:val="00B1798B"/>
    <w:rsid w:val="00B258B4"/>
    <w:rsid w:val="00B8312E"/>
    <w:rsid w:val="00B86129"/>
    <w:rsid w:val="00B86E1F"/>
    <w:rsid w:val="00B900D7"/>
    <w:rsid w:val="00BA4544"/>
    <w:rsid w:val="00BA46F8"/>
    <w:rsid w:val="00BD0366"/>
    <w:rsid w:val="00BD1859"/>
    <w:rsid w:val="00BE1629"/>
    <w:rsid w:val="00BF3CCF"/>
    <w:rsid w:val="00C00639"/>
    <w:rsid w:val="00C0175F"/>
    <w:rsid w:val="00C03BA0"/>
    <w:rsid w:val="00C07DAB"/>
    <w:rsid w:val="00C20A04"/>
    <w:rsid w:val="00C36A1D"/>
    <w:rsid w:val="00C53825"/>
    <w:rsid w:val="00C5662A"/>
    <w:rsid w:val="00C94AB3"/>
    <w:rsid w:val="00C94B4E"/>
    <w:rsid w:val="00CA0066"/>
    <w:rsid w:val="00CA611D"/>
    <w:rsid w:val="00CB1C87"/>
    <w:rsid w:val="00CB26E7"/>
    <w:rsid w:val="00CB5356"/>
    <w:rsid w:val="00CF666D"/>
    <w:rsid w:val="00D151AE"/>
    <w:rsid w:val="00D52945"/>
    <w:rsid w:val="00D57F17"/>
    <w:rsid w:val="00D80086"/>
    <w:rsid w:val="00D84B54"/>
    <w:rsid w:val="00D868AC"/>
    <w:rsid w:val="00D951A4"/>
    <w:rsid w:val="00DB57D6"/>
    <w:rsid w:val="00DB75D6"/>
    <w:rsid w:val="00DE1B48"/>
    <w:rsid w:val="00DE3409"/>
    <w:rsid w:val="00E008B8"/>
    <w:rsid w:val="00E03D45"/>
    <w:rsid w:val="00E10654"/>
    <w:rsid w:val="00E14628"/>
    <w:rsid w:val="00E16BBC"/>
    <w:rsid w:val="00E23DAC"/>
    <w:rsid w:val="00E27D97"/>
    <w:rsid w:val="00E527AD"/>
    <w:rsid w:val="00E63866"/>
    <w:rsid w:val="00E70F9A"/>
    <w:rsid w:val="00E8641C"/>
    <w:rsid w:val="00EB1D2A"/>
    <w:rsid w:val="00EB2DE2"/>
    <w:rsid w:val="00EB4C49"/>
    <w:rsid w:val="00ED5524"/>
    <w:rsid w:val="00EE04DD"/>
    <w:rsid w:val="00F24E50"/>
    <w:rsid w:val="00F603CF"/>
    <w:rsid w:val="00F65F0B"/>
    <w:rsid w:val="00F668D0"/>
    <w:rsid w:val="00FA03F5"/>
    <w:rsid w:val="00FC33CB"/>
    <w:rsid w:val="00FC3CEC"/>
    <w:rsid w:val="00FD6B0E"/>
    <w:rsid w:val="00FF18BF"/>
    <w:rsid w:val="00FF3A16"/>
    <w:rsid w:val="00FF634B"/>
    <w:rsid w:val="08139B97"/>
    <w:rsid w:val="202BF82F"/>
    <w:rsid w:val="270C2747"/>
    <w:rsid w:val="419911EC"/>
    <w:rsid w:val="41E54D9A"/>
    <w:rsid w:val="473F301F"/>
    <w:rsid w:val="57DEDD20"/>
    <w:rsid w:val="6BBE4130"/>
    <w:rsid w:val="6CFF2F9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B88E1F"/>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533E1B"/>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70730241">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21222755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US/en/?utm_source=Stone+Junction&amp;utm_medium=Press+release&amp;utm_campaign=WEG918+ADV200-SP&amp;utm_id=WEG918&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settings" Target="settings.xml"/><Relationship Id="rId12" Type="http://schemas.openxmlformats.org/officeDocument/2006/relationships/hyperlink" Target="https://www.weg.net/institutional/US/en/"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weg.net" TargetMode="Externa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endnotes" Target="endnotes.xml"/><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54DA39BE-DE74-4614-A4C1-AAC0BF77AF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890AB184-92DB-4F47-8EC1-F1612DA7A1FA}">
  <ds:schemaRefs>
    <ds:schemaRef ds:uri="http://schemas.openxmlformats.org/officeDocument/2006/bibliography"/>
  </ds:schemaRefs>
</ds:datastoreItem>
</file>

<file path=customXml/itemProps4.xml><?xml version="1.0" encoding="utf-8"?>
<ds:datastoreItem xmlns:ds="http://schemas.openxmlformats.org/officeDocument/2006/customXml" ds:itemID="{DF6E972C-5F4D-49C0-859C-B9C02326A427}">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957</Words>
  <Characters>5458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Alice Blackwell</cp:lastModifiedBy>
  <cp:revision>7</cp:revision>
  <cp:lastPrinted>2013-11-27T21:43:00Z</cp:lastPrinted>
  <dcterms:created xsi:type="dcterms:W3CDTF">2024-01-16T13:45:00Z</dcterms:created>
  <dcterms:modified xsi:type="dcterms:W3CDTF">2024-01-24T13:18:00Z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